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1C0C" w14:textId="77777777" w:rsidR="00E03992" w:rsidRPr="000F069E" w:rsidRDefault="00E03992" w:rsidP="00E03992">
      <w:pPr>
        <w:spacing w:after="0" w:line="240" w:lineRule="auto"/>
        <w:jc w:val="center"/>
        <w:rPr>
          <w:rFonts w:cs="Times New Roman"/>
        </w:rPr>
      </w:pPr>
    </w:p>
    <w:p w14:paraId="2423B0B5" w14:textId="130E0D20" w:rsidR="00E03992" w:rsidRPr="00D1291B" w:rsidRDefault="00E03992" w:rsidP="00E03992">
      <w:pPr>
        <w:spacing w:after="0" w:line="240" w:lineRule="auto"/>
        <w:jc w:val="center"/>
        <w:rPr>
          <w:rFonts w:cs="Times New Roman"/>
          <w:b/>
          <w:bCs/>
        </w:rPr>
      </w:pPr>
      <w:r w:rsidRPr="00D1291B">
        <w:rPr>
          <w:rFonts w:cs="Times New Roman"/>
          <w:b/>
          <w:bCs/>
        </w:rPr>
        <w:t xml:space="preserve"> </w:t>
      </w:r>
      <w:r w:rsidR="001E59CE">
        <w:rPr>
          <w:rFonts w:cs="Times New Roman"/>
          <w:b/>
          <w:bCs/>
        </w:rPr>
        <w:t>APLINKOS</w:t>
      </w:r>
      <w:r w:rsidR="00D1291B" w:rsidRPr="00D1291B">
        <w:rPr>
          <w:rFonts w:cs="Times New Roman"/>
          <w:b/>
          <w:bCs/>
        </w:rPr>
        <w:t xml:space="preserve"> INŽINERIJOS STUDIJŲ KRYPTIIES </w:t>
      </w:r>
      <w:r w:rsidRPr="00D1291B">
        <w:rPr>
          <w:rFonts w:cs="Times New Roman"/>
          <w:b/>
          <w:bCs/>
        </w:rPr>
        <w:t>IŠORINIO VERTINIMO REKOMENDACIJŲ</w:t>
      </w:r>
      <w:r w:rsidR="00D1291B" w:rsidRPr="00D1291B">
        <w:rPr>
          <w:rFonts w:cs="Times New Roman"/>
          <w:b/>
          <w:bCs/>
        </w:rPr>
        <w:t xml:space="preserve"> VYKDYMO PLANAS</w:t>
      </w:r>
      <w:r w:rsidRPr="00D1291B">
        <w:rPr>
          <w:rFonts w:cs="Times New Roman"/>
          <w:b/>
          <w:bCs/>
        </w:rPr>
        <w:t xml:space="preserve"> </w:t>
      </w:r>
    </w:p>
    <w:p w14:paraId="083EDA03" w14:textId="4883461E" w:rsidR="000F069E" w:rsidRPr="000F069E" w:rsidRDefault="00BA4479" w:rsidP="00E03992">
      <w:pPr>
        <w:spacing w:after="0" w:line="240" w:lineRule="auto"/>
        <w:jc w:val="center"/>
        <w:rPr>
          <w:rFonts w:cs="Times New Roman"/>
          <w:b/>
        </w:rPr>
      </w:pPr>
      <w:r>
        <w:rPr>
          <w:rFonts w:cs="Times New Roman"/>
          <w:b/>
        </w:rPr>
        <w:t>202</w:t>
      </w:r>
      <w:r w:rsidR="001E59CE">
        <w:rPr>
          <w:rFonts w:cs="Times New Roman"/>
          <w:b/>
        </w:rPr>
        <w:t>2</w:t>
      </w:r>
      <w:r>
        <w:rPr>
          <w:rFonts w:cs="Times New Roman"/>
          <w:b/>
        </w:rPr>
        <w:t>-</w:t>
      </w:r>
      <w:r w:rsidR="00FA608C">
        <w:rPr>
          <w:rFonts w:cs="Times New Roman"/>
          <w:b/>
        </w:rPr>
        <w:t>10</w:t>
      </w:r>
      <w:r>
        <w:rPr>
          <w:rFonts w:cs="Times New Roman"/>
          <w:b/>
        </w:rPr>
        <w:t>-</w:t>
      </w:r>
      <w:r w:rsidR="00FA608C">
        <w:rPr>
          <w:rFonts w:cs="Times New Roman"/>
          <w:b/>
        </w:rPr>
        <w:t>xx</w:t>
      </w:r>
    </w:p>
    <w:p w14:paraId="6E3E58CA" w14:textId="69ABBCE2" w:rsidR="000F069E" w:rsidRPr="000F069E" w:rsidRDefault="000F069E" w:rsidP="00E03992">
      <w:pPr>
        <w:spacing w:after="0" w:line="240" w:lineRule="auto"/>
        <w:jc w:val="center"/>
        <w:rPr>
          <w:rFonts w:cs="Times New Roman"/>
          <w:b/>
        </w:rPr>
      </w:pPr>
      <w:r w:rsidRPr="000F069E">
        <w:rPr>
          <w:rFonts w:cs="Times New Roman"/>
          <w:b/>
        </w:rPr>
        <w:t xml:space="preserve"> </w:t>
      </w:r>
    </w:p>
    <w:p w14:paraId="68E123F5" w14:textId="77777777" w:rsidR="00E03992" w:rsidRPr="000F069E" w:rsidRDefault="00E03992" w:rsidP="00E03992">
      <w:pPr>
        <w:spacing w:after="0" w:line="240" w:lineRule="auto"/>
        <w:jc w:val="center"/>
        <w:rPr>
          <w:rFonts w:cs="Times New Roman"/>
        </w:rPr>
      </w:pPr>
    </w:p>
    <w:tbl>
      <w:tblPr>
        <w:tblStyle w:val="TableGrid"/>
        <w:tblW w:w="5000" w:type="pct"/>
        <w:tblLook w:val="04A0" w:firstRow="1" w:lastRow="0" w:firstColumn="1" w:lastColumn="0" w:noHBand="0" w:noVBand="1"/>
      </w:tblPr>
      <w:tblGrid>
        <w:gridCol w:w="1378"/>
        <w:gridCol w:w="3076"/>
        <w:gridCol w:w="3011"/>
        <w:gridCol w:w="1799"/>
        <w:gridCol w:w="2096"/>
        <w:gridCol w:w="2633"/>
      </w:tblGrid>
      <w:tr w:rsidR="00E90666" w:rsidRPr="000F069E" w14:paraId="4D7779FA" w14:textId="333A3913" w:rsidTr="00FA608C">
        <w:tc>
          <w:tcPr>
            <w:tcW w:w="492" w:type="pct"/>
          </w:tcPr>
          <w:p w14:paraId="202D6178" w14:textId="77777777" w:rsidR="000926E4" w:rsidRPr="000F069E" w:rsidRDefault="000926E4" w:rsidP="00E03992">
            <w:pPr>
              <w:jc w:val="center"/>
              <w:rPr>
                <w:rFonts w:cs="Times New Roman"/>
              </w:rPr>
            </w:pPr>
            <w:r w:rsidRPr="000F069E">
              <w:rPr>
                <w:rFonts w:cs="Times New Roman"/>
              </w:rPr>
              <w:t>Vertinamoji sritis</w:t>
            </w:r>
          </w:p>
        </w:tc>
        <w:tc>
          <w:tcPr>
            <w:tcW w:w="1099" w:type="pct"/>
          </w:tcPr>
          <w:p w14:paraId="08010EEA" w14:textId="77777777" w:rsidR="000926E4" w:rsidRPr="000F069E" w:rsidRDefault="000926E4" w:rsidP="00E03992">
            <w:pPr>
              <w:jc w:val="center"/>
              <w:rPr>
                <w:rFonts w:cs="Times New Roman"/>
              </w:rPr>
            </w:pPr>
            <w:r w:rsidRPr="000F069E">
              <w:rPr>
                <w:rFonts w:cs="Times New Roman"/>
              </w:rPr>
              <w:t>Ekspertų rekomendacijos, pateiktos paskutinio vertinimo metu</w:t>
            </w:r>
          </w:p>
        </w:tc>
        <w:tc>
          <w:tcPr>
            <w:tcW w:w="1076" w:type="pct"/>
          </w:tcPr>
          <w:p w14:paraId="2BA5E413" w14:textId="4A45C17D" w:rsidR="000926E4" w:rsidRPr="000F069E" w:rsidRDefault="000926E4">
            <w:pPr>
              <w:jc w:val="center"/>
              <w:rPr>
                <w:rFonts w:cs="Times New Roman"/>
              </w:rPr>
            </w:pPr>
            <w:r>
              <w:rPr>
                <w:rFonts w:cs="Times New Roman"/>
              </w:rPr>
              <w:t>P</w:t>
            </w:r>
            <w:r w:rsidRPr="000F069E">
              <w:rPr>
                <w:rFonts w:cs="Times New Roman"/>
              </w:rPr>
              <w:t xml:space="preserve">lanuojami veiksmai </w:t>
            </w:r>
          </w:p>
        </w:tc>
        <w:tc>
          <w:tcPr>
            <w:tcW w:w="643" w:type="pct"/>
          </w:tcPr>
          <w:p w14:paraId="162B882B" w14:textId="0691BA1A" w:rsidR="000926E4" w:rsidRPr="000F069E" w:rsidRDefault="000926E4">
            <w:pPr>
              <w:jc w:val="center"/>
              <w:rPr>
                <w:rFonts w:cs="Times New Roman"/>
              </w:rPr>
            </w:pPr>
            <w:r>
              <w:rPr>
                <w:rFonts w:cs="Times New Roman"/>
              </w:rPr>
              <w:t>Įgyvendinimo</w:t>
            </w:r>
            <w:r w:rsidRPr="000F069E">
              <w:rPr>
                <w:rFonts w:cs="Times New Roman"/>
              </w:rPr>
              <w:t xml:space="preserve"> terminai</w:t>
            </w:r>
          </w:p>
        </w:tc>
        <w:tc>
          <w:tcPr>
            <w:tcW w:w="749" w:type="pct"/>
          </w:tcPr>
          <w:p w14:paraId="1F13963E" w14:textId="1F9D3A35" w:rsidR="000926E4" w:rsidRPr="000F069E" w:rsidRDefault="000926E4" w:rsidP="00E03992">
            <w:pPr>
              <w:jc w:val="center"/>
              <w:rPr>
                <w:rFonts w:cs="Times New Roman"/>
              </w:rPr>
            </w:pPr>
            <w:r>
              <w:rPr>
                <w:rFonts w:cs="Times New Roman"/>
              </w:rPr>
              <w:t>Atsakingi asmenys/padaliniai</w:t>
            </w:r>
          </w:p>
        </w:tc>
        <w:tc>
          <w:tcPr>
            <w:tcW w:w="941" w:type="pct"/>
          </w:tcPr>
          <w:p w14:paraId="5BAC50BD" w14:textId="7BC81100" w:rsidR="000926E4" w:rsidRPr="000F069E" w:rsidRDefault="000926E4" w:rsidP="00E03992">
            <w:pPr>
              <w:jc w:val="center"/>
              <w:rPr>
                <w:rFonts w:cs="Times New Roman"/>
              </w:rPr>
            </w:pPr>
            <w:r w:rsidRPr="000F069E">
              <w:rPr>
                <w:rFonts w:cs="Times New Roman"/>
              </w:rPr>
              <w:t>Pastabos</w:t>
            </w:r>
          </w:p>
        </w:tc>
      </w:tr>
      <w:tr w:rsidR="00E90666" w:rsidRPr="000F069E" w14:paraId="48A6807B" w14:textId="7CA23D65" w:rsidTr="00FA608C">
        <w:tc>
          <w:tcPr>
            <w:tcW w:w="492" w:type="pct"/>
          </w:tcPr>
          <w:p w14:paraId="7B8F4129" w14:textId="77777777" w:rsidR="00E979DC" w:rsidRPr="000F069E" w:rsidRDefault="00E979DC" w:rsidP="00E979DC">
            <w:pPr>
              <w:jc w:val="center"/>
              <w:rPr>
                <w:rFonts w:cs="Times New Roman"/>
              </w:rPr>
            </w:pPr>
            <w:r w:rsidRPr="000F069E">
              <w:rPr>
                <w:rFonts w:cs="Times New Roman"/>
              </w:rPr>
              <w:t xml:space="preserve">1. </w:t>
            </w:r>
          </w:p>
        </w:tc>
        <w:tc>
          <w:tcPr>
            <w:tcW w:w="1099" w:type="pct"/>
          </w:tcPr>
          <w:p w14:paraId="41C3BDD3" w14:textId="4BC5DCC3" w:rsidR="00E979DC" w:rsidRPr="008819ED" w:rsidRDefault="007D298D" w:rsidP="00E979DC">
            <w:pPr>
              <w:pStyle w:val="Default"/>
              <w:jc w:val="center"/>
            </w:pPr>
            <w:r w:rsidRPr="007D298D">
              <w:rPr>
                <w:b/>
              </w:rPr>
              <w:t>Studijų tikslai, rezultatai ir turinys.</w:t>
            </w:r>
            <w:r w:rsidRPr="008819ED">
              <w:t xml:space="preserve"> </w:t>
            </w:r>
            <w:r w:rsidR="00E979DC" w:rsidRPr="008819ED">
              <w:t xml:space="preserve">Studijų programų siekiai ir rezultatai turėtų būti glaudžiau ir aiškiau susieti su katedros strategijomis ir tikslais. </w:t>
            </w:r>
          </w:p>
        </w:tc>
        <w:tc>
          <w:tcPr>
            <w:tcW w:w="1076" w:type="pct"/>
          </w:tcPr>
          <w:p w14:paraId="0D563247" w14:textId="4D1D5FC1" w:rsidR="00E979DC" w:rsidRPr="008819ED" w:rsidRDefault="00B36B4F" w:rsidP="00B36B4F">
            <w:pPr>
              <w:jc w:val="center"/>
              <w:rPr>
                <w:rFonts w:cs="Times New Roman"/>
                <w:szCs w:val="24"/>
              </w:rPr>
            </w:pPr>
            <w:r>
              <w:rPr>
                <w:rFonts w:cs="Times New Roman"/>
                <w:szCs w:val="24"/>
              </w:rPr>
              <w:t>Numatoma t</w:t>
            </w:r>
            <w:r w:rsidR="00E979DC" w:rsidRPr="008819ED">
              <w:rPr>
                <w:rFonts w:cs="Times New Roman"/>
                <w:szCs w:val="24"/>
              </w:rPr>
              <w:t>ęsti naujovių susijusių su studijų tikslais įdiegimą programose, sek</w:t>
            </w:r>
            <w:r>
              <w:rPr>
                <w:rFonts w:cs="Times New Roman"/>
                <w:szCs w:val="24"/>
              </w:rPr>
              <w:t>ant</w:t>
            </w:r>
            <w:r w:rsidR="00E979DC" w:rsidRPr="008819ED">
              <w:rPr>
                <w:rFonts w:cs="Times New Roman"/>
                <w:szCs w:val="24"/>
              </w:rPr>
              <w:t xml:space="preserve"> naujausias tendencijas pagal poreikį atnaujinti studijų </w:t>
            </w:r>
            <w:r>
              <w:rPr>
                <w:rFonts w:cs="Times New Roman"/>
                <w:szCs w:val="24"/>
              </w:rPr>
              <w:t xml:space="preserve">programos </w:t>
            </w:r>
            <w:r w:rsidR="00E979DC" w:rsidRPr="008819ED">
              <w:rPr>
                <w:rFonts w:cs="Times New Roman"/>
                <w:szCs w:val="24"/>
              </w:rPr>
              <w:t>krypties turinį.</w:t>
            </w:r>
          </w:p>
        </w:tc>
        <w:tc>
          <w:tcPr>
            <w:tcW w:w="643" w:type="pct"/>
          </w:tcPr>
          <w:p w14:paraId="3ED3937A" w14:textId="0A38771A" w:rsidR="00E979DC" w:rsidRPr="008819ED" w:rsidRDefault="00E979DC" w:rsidP="00E90666">
            <w:pPr>
              <w:jc w:val="center"/>
              <w:rPr>
                <w:rFonts w:cs="Times New Roman"/>
                <w:szCs w:val="24"/>
              </w:rPr>
            </w:pPr>
            <w:r w:rsidRPr="008819ED">
              <w:rPr>
                <w:rFonts w:cs="Times New Roman"/>
                <w:szCs w:val="24"/>
              </w:rPr>
              <w:t>202</w:t>
            </w:r>
            <w:r w:rsidR="00E90666">
              <w:rPr>
                <w:rFonts w:cs="Times New Roman"/>
                <w:szCs w:val="24"/>
              </w:rPr>
              <w:t>2</w:t>
            </w:r>
            <w:r w:rsidRPr="008819ED">
              <w:rPr>
                <w:rFonts w:cs="Times New Roman"/>
                <w:szCs w:val="24"/>
              </w:rPr>
              <w:t>-202</w:t>
            </w:r>
            <w:r w:rsidR="00E90666">
              <w:rPr>
                <w:rFonts w:cs="Times New Roman"/>
                <w:szCs w:val="24"/>
              </w:rPr>
              <w:t>9</w:t>
            </w:r>
          </w:p>
        </w:tc>
        <w:tc>
          <w:tcPr>
            <w:tcW w:w="749" w:type="pct"/>
          </w:tcPr>
          <w:p w14:paraId="55CD8650" w14:textId="65616BED" w:rsidR="00E979DC" w:rsidRPr="008819ED" w:rsidRDefault="00B36B4F" w:rsidP="00B36B4F">
            <w:pPr>
              <w:jc w:val="center"/>
              <w:rPr>
                <w:rFonts w:cs="Times New Roman"/>
                <w:szCs w:val="24"/>
              </w:rPr>
            </w:pPr>
            <w:r>
              <w:rPr>
                <w:rFonts w:cs="Times New Roman"/>
                <w:szCs w:val="24"/>
              </w:rPr>
              <w:t>Studijų programų komitetai (SPK)</w:t>
            </w:r>
            <w:r w:rsidR="003A754F">
              <w:rPr>
                <w:rFonts w:cs="Times New Roman"/>
                <w:szCs w:val="24"/>
              </w:rPr>
              <w:t>;</w:t>
            </w:r>
            <w:r w:rsidR="00E979DC" w:rsidRPr="008819ED">
              <w:rPr>
                <w:rFonts w:cs="Times New Roman"/>
                <w:szCs w:val="24"/>
              </w:rPr>
              <w:t xml:space="preserve"> katedros vedėjas</w:t>
            </w:r>
          </w:p>
        </w:tc>
        <w:tc>
          <w:tcPr>
            <w:tcW w:w="941" w:type="pct"/>
          </w:tcPr>
          <w:p w14:paraId="771A4A9E" w14:textId="1A693DB4" w:rsidR="00E979DC" w:rsidRPr="008819ED" w:rsidRDefault="00E979DC" w:rsidP="00E979DC">
            <w:pPr>
              <w:jc w:val="center"/>
              <w:rPr>
                <w:rFonts w:cs="Times New Roman"/>
                <w:szCs w:val="24"/>
              </w:rPr>
            </w:pPr>
          </w:p>
        </w:tc>
      </w:tr>
      <w:tr w:rsidR="00E90666" w:rsidRPr="000F069E" w14:paraId="524C69B1" w14:textId="46AD8436" w:rsidTr="00FA608C">
        <w:tc>
          <w:tcPr>
            <w:tcW w:w="492" w:type="pct"/>
          </w:tcPr>
          <w:p w14:paraId="369BCB39" w14:textId="77777777" w:rsidR="00A17F28" w:rsidRPr="000F069E" w:rsidRDefault="00A17F28" w:rsidP="00A17F28">
            <w:pPr>
              <w:jc w:val="center"/>
              <w:rPr>
                <w:rFonts w:cs="Times New Roman"/>
              </w:rPr>
            </w:pPr>
            <w:r w:rsidRPr="000F069E">
              <w:rPr>
                <w:rFonts w:cs="Times New Roman"/>
              </w:rPr>
              <w:t>2.</w:t>
            </w:r>
          </w:p>
        </w:tc>
        <w:tc>
          <w:tcPr>
            <w:tcW w:w="1099" w:type="pct"/>
          </w:tcPr>
          <w:p w14:paraId="11D009B3" w14:textId="7F8376F3" w:rsidR="00A17F28" w:rsidRPr="008819ED" w:rsidRDefault="007D298D" w:rsidP="00A17F28">
            <w:pPr>
              <w:pStyle w:val="Default"/>
              <w:jc w:val="center"/>
            </w:pPr>
            <w:r w:rsidRPr="007D298D">
              <w:rPr>
                <w:b/>
              </w:rPr>
              <w:t>Mokslo (meno) ir studijų veiklos sąsajos</w:t>
            </w:r>
            <w:r>
              <w:rPr>
                <w:b/>
              </w:rPr>
              <w:t>.</w:t>
            </w:r>
            <w:r w:rsidRPr="007D298D">
              <w:rPr>
                <w:b/>
              </w:rPr>
              <w:t xml:space="preserve"> </w:t>
            </w:r>
            <w:r w:rsidR="00A17F28" w:rsidRPr="008819ED">
              <w:t xml:space="preserve">Didinti studentų, ypač doktorantų, skaičių, taip gilinant ryšį tarp studijų programos ir mokslinių tyrimų. </w:t>
            </w:r>
          </w:p>
        </w:tc>
        <w:tc>
          <w:tcPr>
            <w:tcW w:w="1076" w:type="pct"/>
          </w:tcPr>
          <w:p w14:paraId="058803CB" w14:textId="77777777" w:rsidR="00B36B4F" w:rsidRDefault="007D298D" w:rsidP="00E90666">
            <w:pPr>
              <w:jc w:val="center"/>
              <w:rPr>
                <w:rFonts w:cs="Times New Roman"/>
                <w:szCs w:val="24"/>
              </w:rPr>
            </w:pPr>
            <w:r>
              <w:rPr>
                <w:rFonts w:cs="Times New Roman"/>
                <w:szCs w:val="24"/>
              </w:rPr>
              <w:t>Tęsti</w:t>
            </w:r>
            <w:r w:rsidR="00C805F7">
              <w:rPr>
                <w:rFonts w:cs="Times New Roman"/>
                <w:szCs w:val="24"/>
              </w:rPr>
              <w:t xml:space="preserve"> dėstytojų ir studentų vykdomų mokslinių tyrimų rezultat</w:t>
            </w:r>
            <w:r>
              <w:rPr>
                <w:rFonts w:cs="Times New Roman"/>
                <w:szCs w:val="24"/>
              </w:rPr>
              <w:t>ų viešinimą</w:t>
            </w:r>
            <w:r w:rsidR="00C805F7">
              <w:rPr>
                <w:rFonts w:cs="Times New Roman"/>
                <w:szCs w:val="24"/>
              </w:rPr>
              <w:t>, rengiamas mokslines konferencijas, aktyvinti studentų priėmimo kampaniją.</w:t>
            </w:r>
            <w:r w:rsidR="00E90666">
              <w:rPr>
                <w:rFonts w:cs="Times New Roman"/>
                <w:szCs w:val="24"/>
              </w:rPr>
              <w:t xml:space="preserve"> </w:t>
            </w:r>
          </w:p>
          <w:p w14:paraId="60D5828B" w14:textId="23449B1A" w:rsidR="00A17F28" w:rsidRDefault="00E90666" w:rsidP="00E90666">
            <w:pPr>
              <w:jc w:val="center"/>
              <w:rPr>
                <w:rFonts w:cs="Times New Roman"/>
                <w:szCs w:val="24"/>
              </w:rPr>
            </w:pPr>
            <w:r>
              <w:rPr>
                <w:rFonts w:cs="Times New Roman"/>
                <w:szCs w:val="24"/>
              </w:rPr>
              <w:t xml:space="preserve">Rengiamas </w:t>
            </w:r>
            <w:r w:rsidR="00B36B4F">
              <w:rPr>
                <w:rFonts w:cs="Times New Roman"/>
                <w:szCs w:val="24"/>
              </w:rPr>
              <w:t>bakalauro studijų</w:t>
            </w:r>
            <w:r>
              <w:rPr>
                <w:rFonts w:cs="Times New Roman"/>
                <w:szCs w:val="24"/>
              </w:rPr>
              <w:t xml:space="preserve"> studijų programos agitacinis-reklaminis klipas, </w:t>
            </w:r>
            <w:r w:rsidR="00B36B4F">
              <w:rPr>
                <w:rFonts w:cs="Times New Roman"/>
                <w:szCs w:val="24"/>
              </w:rPr>
              <w:t xml:space="preserve">8-11 kl. </w:t>
            </w:r>
            <w:r>
              <w:rPr>
                <w:rFonts w:cs="Times New Roman"/>
                <w:szCs w:val="24"/>
              </w:rPr>
              <w:t>mokiniams organizuojama</w:t>
            </w:r>
            <w:r w:rsidR="00B36B4F">
              <w:rPr>
                <w:rFonts w:cs="Times New Roman"/>
                <w:szCs w:val="24"/>
              </w:rPr>
              <w:t>s aplinkosauginis konkursas</w:t>
            </w:r>
            <w:r>
              <w:rPr>
                <w:rFonts w:cs="Times New Roman"/>
                <w:szCs w:val="24"/>
              </w:rPr>
              <w:t xml:space="preserve"> </w:t>
            </w:r>
            <w:r w:rsidR="00B36B4F">
              <w:rPr>
                <w:rFonts w:cs="Times New Roman"/>
                <w:szCs w:val="24"/>
              </w:rPr>
              <w:t>„</w:t>
            </w:r>
            <w:r>
              <w:rPr>
                <w:rFonts w:cs="Times New Roman"/>
                <w:szCs w:val="24"/>
              </w:rPr>
              <w:t>Žalioji odisėja</w:t>
            </w:r>
            <w:r w:rsidR="00B36B4F">
              <w:rPr>
                <w:rFonts w:cs="Times New Roman"/>
                <w:szCs w:val="24"/>
              </w:rPr>
              <w:t>“</w:t>
            </w:r>
            <w:r>
              <w:rPr>
                <w:rFonts w:cs="Times New Roman"/>
                <w:szCs w:val="24"/>
              </w:rPr>
              <w:t xml:space="preserve"> (2022 lapkričio 23</w:t>
            </w:r>
            <w:r w:rsidR="00B36B4F">
              <w:rPr>
                <w:rFonts w:cs="Times New Roman"/>
                <w:szCs w:val="24"/>
              </w:rPr>
              <w:t xml:space="preserve"> d.</w:t>
            </w:r>
            <w:r>
              <w:rPr>
                <w:rFonts w:cs="Times New Roman"/>
                <w:szCs w:val="24"/>
              </w:rPr>
              <w:t xml:space="preserve">), jauniesiems mokslininkams organizuojama 26-oji jaunųjų mokslininkų konferencija (2023 balandžio 14), 12-oji </w:t>
            </w:r>
            <w:r>
              <w:rPr>
                <w:rFonts w:cs="Times New Roman"/>
                <w:szCs w:val="24"/>
              </w:rPr>
              <w:lastRenderedPageBreak/>
              <w:t>Tarptautinė konferencija (2023 balandžio 27/28).</w:t>
            </w:r>
          </w:p>
          <w:p w14:paraId="7510D025" w14:textId="2879FEA8" w:rsidR="003054C2" w:rsidRPr="008819ED" w:rsidRDefault="003054C2" w:rsidP="003054C2">
            <w:pPr>
              <w:jc w:val="center"/>
              <w:rPr>
                <w:rFonts w:cs="Times New Roman"/>
                <w:szCs w:val="24"/>
              </w:rPr>
            </w:pPr>
            <w:r>
              <w:rPr>
                <w:rFonts w:cs="Times New Roman"/>
                <w:szCs w:val="24"/>
              </w:rPr>
              <w:t xml:space="preserve">Studentų įtraukimui į mokslinius tyrimus </w:t>
            </w:r>
          </w:p>
        </w:tc>
        <w:tc>
          <w:tcPr>
            <w:tcW w:w="643" w:type="pct"/>
          </w:tcPr>
          <w:p w14:paraId="210E1D85" w14:textId="20718283" w:rsidR="00A17F28" w:rsidRPr="008819ED" w:rsidRDefault="00A17F28" w:rsidP="00E90666">
            <w:pPr>
              <w:jc w:val="center"/>
              <w:rPr>
                <w:rFonts w:cs="Times New Roman"/>
                <w:szCs w:val="24"/>
              </w:rPr>
            </w:pPr>
            <w:r w:rsidRPr="001B1987">
              <w:rPr>
                <w:rFonts w:cs="Times New Roman"/>
                <w:szCs w:val="24"/>
              </w:rPr>
              <w:lastRenderedPageBreak/>
              <w:t>202</w:t>
            </w:r>
            <w:r w:rsidR="00E90666">
              <w:rPr>
                <w:rFonts w:cs="Times New Roman"/>
                <w:szCs w:val="24"/>
              </w:rPr>
              <w:t>2</w:t>
            </w:r>
            <w:r w:rsidRPr="001B1987">
              <w:rPr>
                <w:rFonts w:cs="Times New Roman"/>
                <w:szCs w:val="24"/>
              </w:rPr>
              <w:t>-20</w:t>
            </w:r>
            <w:r w:rsidR="00E90666">
              <w:rPr>
                <w:rFonts w:cs="Times New Roman"/>
                <w:szCs w:val="24"/>
              </w:rPr>
              <w:t>23</w:t>
            </w:r>
          </w:p>
        </w:tc>
        <w:tc>
          <w:tcPr>
            <w:tcW w:w="749" w:type="pct"/>
          </w:tcPr>
          <w:p w14:paraId="358F3762" w14:textId="41252942" w:rsidR="00A17F28" w:rsidRPr="008819ED" w:rsidRDefault="00B36B4F" w:rsidP="00B36B4F">
            <w:pPr>
              <w:jc w:val="center"/>
              <w:rPr>
                <w:rFonts w:cs="Times New Roman"/>
                <w:szCs w:val="24"/>
              </w:rPr>
            </w:pPr>
            <w:r>
              <w:rPr>
                <w:rFonts w:cs="Times New Roman"/>
                <w:szCs w:val="24"/>
              </w:rPr>
              <w:t>Aplinkos apsaugos ir vandens inžinerijos katedra (</w:t>
            </w:r>
            <w:r>
              <w:rPr>
                <w:rFonts w:cs="Times New Roman"/>
                <w:szCs w:val="24"/>
              </w:rPr>
              <w:t>AAVIK</w:t>
            </w:r>
            <w:r>
              <w:rPr>
                <w:rFonts w:cs="Times New Roman"/>
                <w:szCs w:val="24"/>
              </w:rPr>
              <w:t>)</w:t>
            </w:r>
          </w:p>
        </w:tc>
        <w:tc>
          <w:tcPr>
            <w:tcW w:w="941" w:type="pct"/>
          </w:tcPr>
          <w:p w14:paraId="09B5EC5A" w14:textId="081BAF0E" w:rsidR="00A17F28" w:rsidRPr="007D298D" w:rsidRDefault="00A17F28" w:rsidP="00A17F28">
            <w:pPr>
              <w:pStyle w:val="Default"/>
              <w:jc w:val="center"/>
              <w:rPr>
                <w:b/>
              </w:rPr>
            </w:pPr>
          </w:p>
        </w:tc>
      </w:tr>
      <w:tr w:rsidR="00E90666" w:rsidRPr="000F069E" w14:paraId="17ACD024" w14:textId="2338FF48" w:rsidTr="00FA608C">
        <w:tc>
          <w:tcPr>
            <w:tcW w:w="492" w:type="pct"/>
          </w:tcPr>
          <w:p w14:paraId="587F82E4" w14:textId="77777777" w:rsidR="00A17F28" w:rsidRPr="000F069E" w:rsidRDefault="00A17F28" w:rsidP="00A17F28">
            <w:pPr>
              <w:jc w:val="center"/>
              <w:rPr>
                <w:rFonts w:cs="Times New Roman"/>
              </w:rPr>
            </w:pPr>
            <w:r w:rsidRPr="000F069E">
              <w:rPr>
                <w:rFonts w:cs="Times New Roman"/>
              </w:rPr>
              <w:t>3.</w:t>
            </w:r>
          </w:p>
        </w:tc>
        <w:tc>
          <w:tcPr>
            <w:tcW w:w="1099" w:type="pct"/>
          </w:tcPr>
          <w:p w14:paraId="2ECD4BA2" w14:textId="176206BA" w:rsidR="00A17F28" w:rsidRPr="008819ED" w:rsidRDefault="007D298D" w:rsidP="00A17F28">
            <w:pPr>
              <w:pStyle w:val="Default"/>
              <w:jc w:val="center"/>
            </w:pPr>
            <w:r w:rsidRPr="007D298D">
              <w:rPr>
                <w:b/>
              </w:rPr>
              <w:t>Studentų priėmimas ir parama.</w:t>
            </w:r>
            <w:r w:rsidRPr="008819ED">
              <w:t xml:space="preserve"> </w:t>
            </w:r>
            <w:r w:rsidR="00A17F28" w:rsidRPr="008819ED">
              <w:t xml:space="preserve">Reikėtų stiprinti bendravimą su studentais, siekiant, kad jie gautų aiškią informaciją apie siūlomas pagalbos bei paramos, o taip pat ir mobilumo galimybes. </w:t>
            </w:r>
          </w:p>
        </w:tc>
        <w:tc>
          <w:tcPr>
            <w:tcW w:w="1076" w:type="pct"/>
          </w:tcPr>
          <w:p w14:paraId="2E59B99F" w14:textId="640104DE" w:rsidR="004443C2" w:rsidRDefault="00B36B4F" w:rsidP="00C2055D">
            <w:pPr>
              <w:jc w:val="center"/>
              <w:rPr>
                <w:rFonts w:cs="Times New Roman"/>
                <w:szCs w:val="24"/>
              </w:rPr>
            </w:pPr>
            <w:r>
              <w:rPr>
                <w:rFonts w:cs="Times New Roman"/>
                <w:szCs w:val="24"/>
              </w:rPr>
              <w:t>Tęsiamas d</w:t>
            </w:r>
            <w:r w:rsidR="004443C2">
              <w:rPr>
                <w:rFonts w:cs="Times New Roman"/>
                <w:szCs w:val="24"/>
              </w:rPr>
              <w:t>arbas Jaunojo inžinieria</w:t>
            </w:r>
            <w:r>
              <w:rPr>
                <w:rFonts w:cs="Times New Roman"/>
                <w:szCs w:val="24"/>
              </w:rPr>
              <w:t>u</w:t>
            </w:r>
            <w:r w:rsidR="004443C2">
              <w:rPr>
                <w:rFonts w:cs="Times New Roman"/>
                <w:szCs w:val="24"/>
              </w:rPr>
              <w:t>s, Ateities inžinerijos platformoje, atvirų paskaitų moksleiviams pasiūla, skatinant rinktis inžinerines aplinkos apsaugos specialyb</w:t>
            </w:r>
            <w:r>
              <w:rPr>
                <w:rFonts w:cs="Times New Roman"/>
                <w:szCs w:val="24"/>
              </w:rPr>
              <w:t>es</w:t>
            </w:r>
            <w:r w:rsidR="004443C2">
              <w:rPr>
                <w:rFonts w:cs="Times New Roman"/>
                <w:szCs w:val="24"/>
              </w:rPr>
              <w:t xml:space="preserve">. </w:t>
            </w:r>
            <w:r>
              <w:rPr>
                <w:rFonts w:cs="Times New Roman"/>
                <w:szCs w:val="24"/>
              </w:rPr>
              <w:t>Skatin</w:t>
            </w:r>
            <w:r>
              <w:rPr>
                <w:rFonts w:cs="Times New Roman"/>
                <w:szCs w:val="24"/>
              </w:rPr>
              <w:t>ti</w:t>
            </w:r>
            <w:r>
              <w:rPr>
                <w:rFonts w:cs="Times New Roman"/>
                <w:szCs w:val="24"/>
              </w:rPr>
              <w:t xml:space="preserve"> studentus </w:t>
            </w:r>
            <w:r>
              <w:rPr>
                <w:rFonts w:cs="Times New Roman"/>
                <w:szCs w:val="24"/>
              </w:rPr>
              <w:t xml:space="preserve">vykti pagal </w:t>
            </w:r>
            <w:r w:rsidRPr="003054C2">
              <w:rPr>
                <w:rFonts w:cs="Times New Roman"/>
                <w:szCs w:val="24"/>
              </w:rPr>
              <w:t>Erasmus</w:t>
            </w:r>
            <w:r w:rsidRPr="00B36B4F">
              <w:rPr>
                <w:rFonts w:cs="Times New Roman"/>
                <w:szCs w:val="24"/>
              </w:rPr>
              <w:t>+ BIP</w:t>
            </w:r>
            <w:r>
              <w:rPr>
                <w:rFonts w:cs="Times New Roman"/>
                <w:szCs w:val="24"/>
              </w:rPr>
              <w:t xml:space="preserve"> (Blended Intensive learning Programmes) programas</w:t>
            </w:r>
            <w:r w:rsidRPr="00B36B4F">
              <w:rPr>
                <w:rFonts w:cs="Times New Roman"/>
                <w:szCs w:val="24"/>
              </w:rPr>
              <w:t xml:space="preserve"> </w:t>
            </w:r>
            <w:r>
              <w:rPr>
                <w:rFonts w:cs="Times New Roman"/>
                <w:szCs w:val="24"/>
              </w:rPr>
              <w:t xml:space="preserve">2023 m. vasario mėn. organizuoti III kurso APf-20 ir APFuc-20 grupės studentams išvyką pagal Erasmus+ programą į Beje(Portugalija) 2023 siekiant III savaičių trukmės kursuose įgyti žinių </w:t>
            </w:r>
            <w:r w:rsidR="00026FE5">
              <w:rPr>
                <w:rFonts w:cs="Times New Roman"/>
                <w:szCs w:val="24"/>
              </w:rPr>
              <w:t xml:space="preserve">aplinkosauginių </w:t>
            </w:r>
            <w:r>
              <w:rPr>
                <w:rFonts w:cs="Times New Roman"/>
                <w:szCs w:val="24"/>
              </w:rPr>
              <w:t>nuotolinių stebėjimų ir skaitmenizacijos temose.</w:t>
            </w:r>
          </w:p>
          <w:p w14:paraId="14DB416C" w14:textId="4ABDCD1B" w:rsidR="00A17F28" w:rsidRPr="008819ED" w:rsidRDefault="00B36B4F" w:rsidP="00B36B4F">
            <w:pPr>
              <w:jc w:val="center"/>
              <w:rPr>
                <w:rFonts w:cs="Times New Roman"/>
                <w:szCs w:val="24"/>
              </w:rPr>
            </w:pPr>
            <w:r>
              <w:rPr>
                <w:rFonts w:cs="Times New Roman"/>
                <w:szCs w:val="24"/>
              </w:rPr>
              <w:t>Vykdyti Aplinkos inž. f</w:t>
            </w:r>
            <w:r w:rsidR="003054C2">
              <w:rPr>
                <w:rFonts w:cs="Times New Roman"/>
                <w:szCs w:val="24"/>
              </w:rPr>
              <w:t>akultet</w:t>
            </w:r>
            <w:r>
              <w:rPr>
                <w:rFonts w:cs="Times New Roman"/>
                <w:szCs w:val="24"/>
              </w:rPr>
              <w:t>e</w:t>
            </w:r>
            <w:r w:rsidR="003054C2">
              <w:rPr>
                <w:rFonts w:cs="Times New Roman"/>
                <w:szCs w:val="24"/>
              </w:rPr>
              <w:t xml:space="preserve"> atvir</w:t>
            </w:r>
            <w:r>
              <w:rPr>
                <w:rFonts w:cs="Times New Roman"/>
                <w:szCs w:val="24"/>
              </w:rPr>
              <w:t>us</w:t>
            </w:r>
            <w:r w:rsidR="003054C2">
              <w:rPr>
                <w:rFonts w:cs="Times New Roman"/>
                <w:szCs w:val="24"/>
              </w:rPr>
              <w:t xml:space="preserve"> </w:t>
            </w:r>
            <w:r>
              <w:rPr>
                <w:rFonts w:cs="Times New Roman"/>
                <w:szCs w:val="24"/>
              </w:rPr>
              <w:t xml:space="preserve">gerosios praktikos </w:t>
            </w:r>
            <w:r w:rsidR="003054C2">
              <w:rPr>
                <w:rFonts w:cs="Times New Roman"/>
                <w:szCs w:val="24"/>
              </w:rPr>
              <w:t>rengini</w:t>
            </w:r>
            <w:r>
              <w:rPr>
                <w:rFonts w:cs="Times New Roman"/>
                <w:szCs w:val="24"/>
              </w:rPr>
              <w:t>us</w:t>
            </w:r>
            <w:r w:rsidR="003054C2">
              <w:rPr>
                <w:rFonts w:cs="Times New Roman"/>
                <w:szCs w:val="24"/>
              </w:rPr>
              <w:t xml:space="preserve"> apie </w:t>
            </w:r>
            <w:r w:rsidR="004443C2">
              <w:rPr>
                <w:rFonts w:cs="Times New Roman"/>
                <w:szCs w:val="24"/>
              </w:rPr>
              <w:t xml:space="preserve">studentų </w:t>
            </w:r>
            <w:r w:rsidR="003054C2">
              <w:rPr>
                <w:rFonts w:cs="Times New Roman"/>
                <w:szCs w:val="24"/>
              </w:rPr>
              <w:t>mobilumo galimybes</w:t>
            </w:r>
            <w:r w:rsidR="004443C2">
              <w:rPr>
                <w:rFonts w:cs="Times New Roman"/>
                <w:szCs w:val="24"/>
              </w:rPr>
              <w:t xml:space="preserve"> studijoms ir praktikų atlikimui</w:t>
            </w:r>
            <w:r w:rsidR="003054C2">
              <w:rPr>
                <w:rFonts w:cs="Times New Roman"/>
                <w:szCs w:val="24"/>
              </w:rPr>
              <w:t xml:space="preserve">. </w:t>
            </w:r>
            <w:r w:rsidR="004443C2">
              <w:rPr>
                <w:rFonts w:cs="Times New Roman"/>
                <w:szCs w:val="24"/>
              </w:rPr>
              <w:t>Skatinti s</w:t>
            </w:r>
            <w:r w:rsidR="003054C2">
              <w:rPr>
                <w:rFonts w:cs="Times New Roman"/>
                <w:szCs w:val="24"/>
              </w:rPr>
              <w:t>tudent</w:t>
            </w:r>
            <w:r w:rsidR="004443C2">
              <w:rPr>
                <w:rFonts w:cs="Times New Roman"/>
                <w:szCs w:val="24"/>
              </w:rPr>
              <w:t>us</w:t>
            </w:r>
            <w:r w:rsidR="003054C2">
              <w:rPr>
                <w:rFonts w:cs="Times New Roman"/>
                <w:szCs w:val="24"/>
              </w:rPr>
              <w:t>, vykusi</w:t>
            </w:r>
            <w:r w:rsidR="004443C2">
              <w:rPr>
                <w:rFonts w:cs="Times New Roman"/>
                <w:szCs w:val="24"/>
              </w:rPr>
              <w:t>us</w:t>
            </w:r>
            <w:r w:rsidR="003054C2">
              <w:rPr>
                <w:rFonts w:cs="Times New Roman"/>
                <w:szCs w:val="24"/>
              </w:rPr>
              <w:t xml:space="preserve"> pagal </w:t>
            </w:r>
            <w:r w:rsidR="003054C2">
              <w:rPr>
                <w:rFonts w:cs="Times New Roman"/>
                <w:szCs w:val="24"/>
              </w:rPr>
              <w:lastRenderedPageBreak/>
              <w:t xml:space="preserve">mobilumo programas </w:t>
            </w:r>
            <w:r w:rsidR="004443C2">
              <w:rPr>
                <w:rFonts w:cs="Times New Roman"/>
                <w:szCs w:val="24"/>
              </w:rPr>
              <w:t>pasidalinti su studentais</w:t>
            </w:r>
            <w:r w:rsidR="003054C2">
              <w:rPr>
                <w:rFonts w:cs="Times New Roman"/>
                <w:szCs w:val="24"/>
              </w:rPr>
              <w:t xml:space="preserve"> savo patirtimi socialiniame APF tinkle. </w:t>
            </w:r>
            <w:r>
              <w:rPr>
                <w:rFonts w:cs="Times New Roman"/>
                <w:szCs w:val="24"/>
              </w:rPr>
              <w:t>Elektroninėmis priemonėmis ir s</w:t>
            </w:r>
            <w:r w:rsidR="00E90666">
              <w:rPr>
                <w:rFonts w:cs="Times New Roman"/>
                <w:szCs w:val="24"/>
              </w:rPr>
              <w:t xml:space="preserve">usitikimuose su studentais, bei kuratoriai </w:t>
            </w:r>
            <w:r>
              <w:rPr>
                <w:rFonts w:cs="Times New Roman"/>
                <w:szCs w:val="24"/>
              </w:rPr>
              <w:t>dalintis</w:t>
            </w:r>
            <w:r w:rsidR="00E90666">
              <w:rPr>
                <w:rFonts w:cs="Times New Roman"/>
                <w:szCs w:val="24"/>
              </w:rPr>
              <w:t xml:space="preserve"> </w:t>
            </w:r>
            <w:r w:rsidR="00C805F7">
              <w:rPr>
                <w:rFonts w:cs="Times New Roman"/>
                <w:szCs w:val="24"/>
              </w:rPr>
              <w:t>informacij</w:t>
            </w:r>
            <w:r w:rsidR="00E90666">
              <w:rPr>
                <w:rFonts w:cs="Times New Roman"/>
                <w:szCs w:val="24"/>
              </w:rPr>
              <w:t>a</w:t>
            </w:r>
            <w:r w:rsidR="00C805F7">
              <w:rPr>
                <w:rFonts w:cs="Times New Roman"/>
                <w:szCs w:val="24"/>
              </w:rPr>
              <w:t xml:space="preserve"> apie mobilumo galimybes, įsidarbinimo pasiūlymus, paramą</w:t>
            </w:r>
            <w:r w:rsidR="00E90666">
              <w:rPr>
                <w:rFonts w:cs="Times New Roman"/>
                <w:szCs w:val="24"/>
              </w:rPr>
              <w:t>,</w:t>
            </w:r>
            <w:r w:rsidR="00C805F7">
              <w:rPr>
                <w:rFonts w:cs="Times New Roman"/>
                <w:szCs w:val="24"/>
              </w:rPr>
              <w:t xml:space="preserve"> pagalbą.</w:t>
            </w:r>
            <w:r w:rsidR="003054C2">
              <w:rPr>
                <w:rFonts w:cs="Times New Roman"/>
                <w:szCs w:val="24"/>
              </w:rPr>
              <w:t xml:space="preserve"> </w:t>
            </w:r>
          </w:p>
        </w:tc>
        <w:tc>
          <w:tcPr>
            <w:tcW w:w="643" w:type="pct"/>
          </w:tcPr>
          <w:p w14:paraId="3A698F39" w14:textId="0DE787D7" w:rsidR="00A17F28" w:rsidRPr="008819ED" w:rsidRDefault="00A17F28" w:rsidP="00A17F28">
            <w:pPr>
              <w:jc w:val="center"/>
              <w:rPr>
                <w:rFonts w:cs="Times New Roman"/>
                <w:szCs w:val="24"/>
              </w:rPr>
            </w:pPr>
            <w:r w:rsidRPr="001B1987">
              <w:rPr>
                <w:rFonts w:cs="Times New Roman"/>
                <w:szCs w:val="24"/>
              </w:rPr>
              <w:lastRenderedPageBreak/>
              <w:t>2023-2029</w:t>
            </w:r>
          </w:p>
        </w:tc>
        <w:tc>
          <w:tcPr>
            <w:tcW w:w="749" w:type="pct"/>
          </w:tcPr>
          <w:p w14:paraId="7EA84004" w14:textId="43C04CDF" w:rsidR="00A17F28" w:rsidRPr="008819ED" w:rsidRDefault="00B36B4F" w:rsidP="00B36B4F">
            <w:pPr>
              <w:jc w:val="center"/>
              <w:rPr>
                <w:rFonts w:cs="Times New Roman"/>
                <w:szCs w:val="24"/>
              </w:rPr>
            </w:pPr>
            <w:r>
              <w:rPr>
                <w:rFonts w:cs="Times New Roman"/>
                <w:szCs w:val="24"/>
              </w:rPr>
              <w:t>AAVIK</w:t>
            </w:r>
            <w:r>
              <w:rPr>
                <w:rFonts w:cs="Times New Roman"/>
                <w:szCs w:val="24"/>
              </w:rPr>
              <w:t>;</w:t>
            </w:r>
            <w:r>
              <w:rPr>
                <w:rFonts w:cs="Times New Roman"/>
                <w:szCs w:val="24"/>
              </w:rPr>
              <w:t xml:space="preserve"> </w:t>
            </w:r>
            <w:r w:rsidR="00C805F7">
              <w:rPr>
                <w:rFonts w:cs="Times New Roman"/>
                <w:szCs w:val="24"/>
              </w:rPr>
              <w:t>VILNIUS TECH Erasmus skyrius; A</w:t>
            </w:r>
            <w:r>
              <w:rPr>
                <w:rFonts w:cs="Times New Roman"/>
                <w:szCs w:val="24"/>
              </w:rPr>
              <w:t>plinkos inž. fakulteto</w:t>
            </w:r>
            <w:r w:rsidR="00C805F7">
              <w:rPr>
                <w:rFonts w:cs="Times New Roman"/>
                <w:szCs w:val="24"/>
              </w:rPr>
              <w:t xml:space="preserve"> administracija, </w:t>
            </w:r>
            <w:r>
              <w:rPr>
                <w:rFonts w:cs="Times New Roman"/>
                <w:szCs w:val="24"/>
              </w:rPr>
              <w:t xml:space="preserve">studentų </w:t>
            </w:r>
            <w:r w:rsidR="00C805F7">
              <w:rPr>
                <w:rFonts w:cs="Times New Roman"/>
                <w:szCs w:val="24"/>
              </w:rPr>
              <w:t>kuratoriai</w:t>
            </w:r>
          </w:p>
        </w:tc>
        <w:tc>
          <w:tcPr>
            <w:tcW w:w="941" w:type="pct"/>
          </w:tcPr>
          <w:p w14:paraId="5CA624AD" w14:textId="0204475C" w:rsidR="00A17F28" w:rsidRPr="008819ED" w:rsidRDefault="00A17F28" w:rsidP="00A17F28">
            <w:pPr>
              <w:pStyle w:val="Default"/>
              <w:jc w:val="center"/>
            </w:pPr>
          </w:p>
        </w:tc>
      </w:tr>
      <w:tr w:rsidR="00E90666" w:rsidRPr="000F069E" w14:paraId="53442232" w14:textId="6CD9F18A" w:rsidTr="00FA608C">
        <w:tc>
          <w:tcPr>
            <w:tcW w:w="492" w:type="pct"/>
          </w:tcPr>
          <w:p w14:paraId="5BB9C420" w14:textId="77777777" w:rsidR="00A17F28" w:rsidRPr="000F069E" w:rsidRDefault="00A17F28" w:rsidP="00A17F28">
            <w:pPr>
              <w:jc w:val="center"/>
              <w:rPr>
                <w:rFonts w:cs="Times New Roman"/>
              </w:rPr>
            </w:pPr>
            <w:r w:rsidRPr="000F069E">
              <w:rPr>
                <w:rFonts w:cs="Times New Roman"/>
              </w:rPr>
              <w:t>4.</w:t>
            </w:r>
          </w:p>
        </w:tc>
        <w:tc>
          <w:tcPr>
            <w:tcW w:w="1099" w:type="pct"/>
          </w:tcPr>
          <w:p w14:paraId="00A5F1AC" w14:textId="30EFDDE7" w:rsidR="00A17F28" w:rsidRPr="008819ED" w:rsidRDefault="007D298D" w:rsidP="00A17F28">
            <w:pPr>
              <w:pStyle w:val="Default"/>
              <w:jc w:val="center"/>
            </w:pPr>
            <w:r w:rsidRPr="007D298D">
              <w:rPr>
                <w:b/>
              </w:rPr>
              <w:t>Studijavimas, studijų pasiekimai ir absolventų užimtumas.</w:t>
            </w:r>
            <w:r w:rsidRPr="008819ED">
              <w:t xml:space="preserve"> </w:t>
            </w:r>
            <w:r w:rsidR="00A17F28" w:rsidRPr="008819ED">
              <w:t xml:space="preserve">Persvarstyti baigiamųjų darbų vertinimo sistemą ir užtikrinti teisingumą vertinimo procese. </w:t>
            </w:r>
          </w:p>
        </w:tc>
        <w:tc>
          <w:tcPr>
            <w:tcW w:w="1076" w:type="pct"/>
          </w:tcPr>
          <w:p w14:paraId="7934F220" w14:textId="35075B1D" w:rsidR="00A17F28" w:rsidRPr="008819ED" w:rsidRDefault="003A754F" w:rsidP="00C805F7">
            <w:pPr>
              <w:jc w:val="center"/>
              <w:rPr>
                <w:rFonts w:cs="Times New Roman"/>
                <w:szCs w:val="24"/>
              </w:rPr>
            </w:pPr>
            <w:r>
              <w:rPr>
                <w:rFonts w:cs="Times New Roman"/>
                <w:szCs w:val="24"/>
              </w:rPr>
              <w:t>P</w:t>
            </w:r>
            <w:r w:rsidR="00C805F7">
              <w:rPr>
                <w:rFonts w:cs="Times New Roman"/>
                <w:szCs w:val="24"/>
              </w:rPr>
              <w:t>eržiūrėti ir atnaujinti BD vertinamuosius kriterijus bei įverčių (pasiekimų) sistemą.</w:t>
            </w:r>
          </w:p>
        </w:tc>
        <w:tc>
          <w:tcPr>
            <w:tcW w:w="643" w:type="pct"/>
          </w:tcPr>
          <w:p w14:paraId="7F39C0FD" w14:textId="0221019A" w:rsidR="00A17F28" w:rsidRPr="008819ED" w:rsidRDefault="00A17F28" w:rsidP="00E90666">
            <w:pPr>
              <w:jc w:val="center"/>
              <w:rPr>
                <w:rFonts w:cs="Times New Roman"/>
                <w:szCs w:val="24"/>
              </w:rPr>
            </w:pPr>
            <w:r w:rsidRPr="001B1987">
              <w:rPr>
                <w:rFonts w:cs="Times New Roman"/>
                <w:szCs w:val="24"/>
              </w:rPr>
              <w:t>202</w:t>
            </w:r>
            <w:r w:rsidR="007D298D">
              <w:rPr>
                <w:rFonts w:cs="Times New Roman"/>
                <w:szCs w:val="24"/>
              </w:rPr>
              <w:t>2</w:t>
            </w:r>
            <w:r w:rsidRPr="001B1987">
              <w:rPr>
                <w:rFonts w:cs="Times New Roman"/>
                <w:szCs w:val="24"/>
              </w:rPr>
              <w:t>-</w:t>
            </w:r>
            <w:r w:rsidR="00E90666">
              <w:rPr>
                <w:rFonts w:cs="Times New Roman"/>
                <w:szCs w:val="24"/>
              </w:rPr>
              <w:t>2023</w:t>
            </w:r>
          </w:p>
        </w:tc>
        <w:tc>
          <w:tcPr>
            <w:tcW w:w="749" w:type="pct"/>
          </w:tcPr>
          <w:p w14:paraId="65ADAFF4" w14:textId="58CB69E7" w:rsidR="00A17F28" w:rsidRPr="008819ED" w:rsidRDefault="003A754F" w:rsidP="00A17F28">
            <w:pPr>
              <w:jc w:val="center"/>
              <w:rPr>
                <w:rFonts w:cs="Times New Roman"/>
                <w:szCs w:val="24"/>
              </w:rPr>
            </w:pPr>
            <w:r>
              <w:rPr>
                <w:rFonts w:cs="Times New Roman"/>
                <w:szCs w:val="24"/>
              </w:rPr>
              <w:t>SPK</w:t>
            </w:r>
          </w:p>
        </w:tc>
        <w:tc>
          <w:tcPr>
            <w:tcW w:w="941" w:type="pct"/>
          </w:tcPr>
          <w:p w14:paraId="00141C2B" w14:textId="57A73A23" w:rsidR="00A17F28" w:rsidRPr="008819ED" w:rsidRDefault="00A17F28" w:rsidP="00A17F28">
            <w:pPr>
              <w:pStyle w:val="Default"/>
              <w:jc w:val="center"/>
            </w:pPr>
          </w:p>
        </w:tc>
      </w:tr>
      <w:tr w:rsidR="00E90666" w:rsidRPr="000F069E" w14:paraId="5B0F114B" w14:textId="1E8959CA" w:rsidTr="00FA608C">
        <w:tc>
          <w:tcPr>
            <w:tcW w:w="492" w:type="pct"/>
          </w:tcPr>
          <w:p w14:paraId="77E0A9FC" w14:textId="77777777" w:rsidR="00A17F28" w:rsidRPr="000F069E" w:rsidRDefault="00A17F28" w:rsidP="00A17F28">
            <w:pPr>
              <w:jc w:val="center"/>
              <w:rPr>
                <w:rFonts w:cs="Times New Roman"/>
              </w:rPr>
            </w:pPr>
            <w:r w:rsidRPr="000F069E">
              <w:rPr>
                <w:rFonts w:cs="Times New Roman"/>
              </w:rPr>
              <w:t>5.</w:t>
            </w:r>
          </w:p>
        </w:tc>
        <w:tc>
          <w:tcPr>
            <w:tcW w:w="1099" w:type="pct"/>
          </w:tcPr>
          <w:p w14:paraId="00E60FE1" w14:textId="4B9B5D37" w:rsidR="00A17F28" w:rsidRPr="008819ED" w:rsidRDefault="007D298D" w:rsidP="00A17F28">
            <w:pPr>
              <w:pStyle w:val="Default"/>
              <w:jc w:val="center"/>
            </w:pPr>
            <w:r w:rsidRPr="007D298D">
              <w:rPr>
                <w:b/>
              </w:rPr>
              <w:t>Dėstytojai.</w:t>
            </w:r>
            <w:r w:rsidRPr="008819ED">
              <w:t xml:space="preserve"> </w:t>
            </w:r>
            <w:r w:rsidR="00A17F28" w:rsidRPr="008819ED">
              <w:t xml:space="preserve">Didelis docentų daktarų skaičius reiškia, kad esama veiksnių, kurie trukdo jiems toliau tobulėti ir siekti profesoriaus vardo. </w:t>
            </w:r>
          </w:p>
        </w:tc>
        <w:tc>
          <w:tcPr>
            <w:tcW w:w="1076" w:type="pct"/>
          </w:tcPr>
          <w:p w14:paraId="14FBCA70" w14:textId="59BB8DDE" w:rsidR="00C805F7" w:rsidRPr="008819ED" w:rsidRDefault="00FA608C" w:rsidP="00026FE5">
            <w:pPr>
              <w:jc w:val="center"/>
              <w:rPr>
                <w:rFonts w:cs="Times New Roman"/>
                <w:szCs w:val="24"/>
              </w:rPr>
            </w:pPr>
            <w:r>
              <w:rPr>
                <w:rFonts w:cs="Times New Roman"/>
                <w:szCs w:val="24"/>
              </w:rPr>
              <w:t>Skati</w:t>
            </w:r>
            <w:r w:rsidR="00026FE5">
              <w:rPr>
                <w:rFonts w:cs="Times New Roman"/>
                <w:szCs w:val="24"/>
              </w:rPr>
              <w:t>nti</w:t>
            </w:r>
            <w:r>
              <w:rPr>
                <w:rFonts w:cs="Times New Roman"/>
                <w:szCs w:val="24"/>
              </w:rPr>
              <w:t xml:space="preserve"> darbuotojus tobulėti ir siekti aukštumų, tačiau </w:t>
            </w:r>
            <w:r w:rsidR="007D298D">
              <w:rPr>
                <w:rFonts w:cs="Times New Roman"/>
                <w:szCs w:val="24"/>
              </w:rPr>
              <w:t xml:space="preserve">VILNIUS TECH </w:t>
            </w:r>
            <w:r w:rsidR="003A754F">
              <w:rPr>
                <w:rFonts w:cs="Times New Roman"/>
                <w:szCs w:val="24"/>
              </w:rPr>
              <w:t>pareigybinių konkursų teikimo tvarkoje</w:t>
            </w:r>
            <w:r w:rsidR="007D298D">
              <w:rPr>
                <w:rFonts w:cs="Times New Roman"/>
                <w:szCs w:val="24"/>
              </w:rPr>
              <w:t xml:space="preserve"> apibrėžta, kad ne daugiau kaip 25</w:t>
            </w:r>
            <w:r w:rsidR="00C2055D">
              <w:rPr>
                <w:rFonts w:cs="Times New Roman"/>
                <w:szCs w:val="24"/>
              </w:rPr>
              <w:t xml:space="preserve"> </w:t>
            </w:r>
            <w:r w:rsidR="007D298D">
              <w:rPr>
                <w:rFonts w:cs="Times New Roman"/>
                <w:szCs w:val="24"/>
              </w:rPr>
              <w:t>proc. katedros etatų gali užimti profesoriaus pareigas einantys darbuotojai.</w:t>
            </w:r>
          </w:p>
        </w:tc>
        <w:tc>
          <w:tcPr>
            <w:tcW w:w="643" w:type="pct"/>
          </w:tcPr>
          <w:p w14:paraId="1A91D7CC" w14:textId="37DBC307" w:rsidR="00A17F28" w:rsidRPr="008819ED" w:rsidRDefault="00A17F28" w:rsidP="00A17F28">
            <w:pPr>
              <w:jc w:val="center"/>
              <w:rPr>
                <w:rFonts w:cs="Times New Roman"/>
                <w:szCs w:val="24"/>
              </w:rPr>
            </w:pPr>
            <w:r w:rsidRPr="001B1987">
              <w:rPr>
                <w:rFonts w:cs="Times New Roman"/>
                <w:szCs w:val="24"/>
              </w:rPr>
              <w:t>2023-2029</w:t>
            </w:r>
          </w:p>
        </w:tc>
        <w:tc>
          <w:tcPr>
            <w:tcW w:w="749" w:type="pct"/>
          </w:tcPr>
          <w:p w14:paraId="6810796C" w14:textId="6C9C3A4A" w:rsidR="00A17F28" w:rsidRPr="008819ED" w:rsidRDefault="003A754F" w:rsidP="00A17F28">
            <w:pPr>
              <w:jc w:val="center"/>
              <w:rPr>
                <w:rFonts w:cs="Times New Roman"/>
                <w:szCs w:val="24"/>
              </w:rPr>
            </w:pPr>
            <w:r>
              <w:rPr>
                <w:rFonts w:cs="Times New Roman"/>
                <w:szCs w:val="24"/>
              </w:rPr>
              <w:t>Personalo direkcija</w:t>
            </w:r>
          </w:p>
        </w:tc>
        <w:tc>
          <w:tcPr>
            <w:tcW w:w="941" w:type="pct"/>
          </w:tcPr>
          <w:p w14:paraId="16466EC2" w14:textId="248B41FA" w:rsidR="00A17F28" w:rsidRPr="00026FE5" w:rsidRDefault="007D298D" w:rsidP="00026FE5">
            <w:pPr>
              <w:jc w:val="center"/>
            </w:pPr>
            <w:r>
              <w:rPr>
                <w:rFonts w:cs="Times New Roman"/>
                <w:szCs w:val="24"/>
              </w:rPr>
              <w:t xml:space="preserve">2022-09-01 duomenimis AAVIK „gavo“ 10,82 etato iš kurių profesoriaus pareigas einantys </w:t>
            </w:r>
            <w:r w:rsidR="00026FE5">
              <w:rPr>
                <w:rFonts w:cs="Times New Roman"/>
                <w:szCs w:val="24"/>
              </w:rPr>
              <w:t xml:space="preserve">penki </w:t>
            </w:r>
            <w:r>
              <w:rPr>
                <w:rFonts w:cs="Times New Roman"/>
                <w:szCs w:val="24"/>
              </w:rPr>
              <w:t xml:space="preserve">dėstytojai </w:t>
            </w:r>
            <w:r w:rsidR="00026FE5">
              <w:rPr>
                <w:rFonts w:cs="Times New Roman"/>
                <w:szCs w:val="24"/>
              </w:rPr>
              <w:t xml:space="preserve">kartu </w:t>
            </w:r>
            <w:r>
              <w:rPr>
                <w:rFonts w:cs="Times New Roman"/>
                <w:szCs w:val="24"/>
              </w:rPr>
              <w:t xml:space="preserve">užima </w:t>
            </w:r>
            <w:r w:rsidR="00026FE5">
              <w:rPr>
                <w:rFonts w:cs="Times New Roman"/>
                <w:szCs w:val="24"/>
              </w:rPr>
              <w:t>2,75</w:t>
            </w:r>
            <w:r>
              <w:rPr>
                <w:rFonts w:cs="Times New Roman"/>
                <w:szCs w:val="24"/>
              </w:rPr>
              <w:t xml:space="preserve"> etato </w:t>
            </w:r>
            <w:r w:rsidR="00026FE5">
              <w:rPr>
                <w:rFonts w:cs="Times New Roman"/>
                <w:szCs w:val="24"/>
              </w:rPr>
              <w:t>t.y.</w:t>
            </w:r>
            <w:r>
              <w:rPr>
                <w:rFonts w:cs="Times New Roman"/>
                <w:szCs w:val="24"/>
              </w:rPr>
              <w:t xml:space="preserve"> 2</w:t>
            </w:r>
            <w:r w:rsidR="00026FE5">
              <w:rPr>
                <w:rFonts w:cs="Times New Roman"/>
                <w:szCs w:val="24"/>
              </w:rPr>
              <w:t>5,4</w:t>
            </w:r>
            <w:r w:rsidRPr="00026FE5">
              <w:rPr>
                <w:rFonts w:cs="Times New Roman"/>
                <w:szCs w:val="24"/>
              </w:rPr>
              <w:t>%.</w:t>
            </w:r>
          </w:p>
        </w:tc>
      </w:tr>
      <w:tr w:rsidR="00E90666" w:rsidRPr="000F069E" w14:paraId="67B6E76B" w14:textId="77777777" w:rsidTr="00FA608C">
        <w:tc>
          <w:tcPr>
            <w:tcW w:w="492" w:type="pct"/>
          </w:tcPr>
          <w:p w14:paraId="4F3162CC" w14:textId="2E94F6DF" w:rsidR="00A17F28" w:rsidRPr="000F069E" w:rsidRDefault="00A17F28" w:rsidP="00A17F28">
            <w:pPr>
              <w:jc w:val="center"/>
              <w:rPr>
                <w:rFonts w:cs="Times New Roman"/>
              </w:rPr>
            </w:pPr>
            <w:r>
              <w:rPr>
                <w:rFonts w:cs="Times New Roman"/>
              </w:rPr>
              <w:t>6.</w:t>
            </w:r>
          </w:p>
        </w:tc>
        <w:tc>
          <w:tcPr>
            <w:tcW w:w="1099" w:type="pct"/>
          </w:tcPr>
          <w:p w14:paraId="34A81802" w14:textId="31F6B1B5" w:rsidR="00A17F28" w:rsidRPr="008819ED" w:rsidRDefault="007D298D" w:rsidP="00A17F28">
            <w:pPr>
              <w:pStyle w:val="Default"/>
              <w:jc w:val="center"/>
            </w:pPr>
            <w:r w:rsidRPr="007D298D">
              <w:rPr>
                <w:b/>
              </w:rPr>
              <w:t>Studijų materialieji ištekliai.</w:t>
            </w:r>
            <w:r w:rsidRPr="008819ED">
              <w:t xml:space="preserve"> </w:t>
            </w:r>
            <w:r w:rsidR="00A17F28" w:rsidRPr="008819ED">
              <w:t>Užtikrinti pakankamą laboratorijos asistentų skaičių ir kvalifikaciją, kai visuomenė grįš į įprastą darbo ritmą.</w:t>
            </w:r>
          </w:p>
        </w:tc>
        <w:tc>
          <w:tcPr>
            <w:tcW w:w="1076" w:type="pct"/>
          </w:tcPr>
          <w:p w14:paraId="2FADCDC8" w14:textId="347A8C2D" w:rsidR="00A17F28" w:rsidRPr="008819ED" w:rsidRDefault="00026FE5" w:rsidP="00026FE5">
            <w:pPr>
              <w:jc w:val="center"/>
              <w:rPr>
                <w:rFonts w:cs="Times New Roman"/>
                <w:szCs w:val="24"/>
              </w:rPr>
            </w:pPr>
            <w:r>
              <w:rPr>
                <w:rFonts w:cs="Times New Roman"/>
                <w:szCs w:val="24"/>
              </w:rPr>
              <w:t>Siekti išlaikyti l</w:t>
            </w:r>
            <w:r w:rsidR="003A754F">
              <w:rPr>
                <w:rFonts w:cs="Times New Roman"/>
                <w:szCs w:val="24"/>
              </w:rPr>
              <w:t>aboratorijos personalo skaiči</w:t>
            </w:r>
            <w:r>
              <w:rPr>
                <w:rFonts w:cs="Times New Roman"/>
                <w:szCs w:val="24"/>
              </w:rPr>
              <w:t>ų</w:t>
            </w:r>
            <w:r w:rsidR="003A754F">
              <w:rPr>
                <w:rFonts w:cs="Times New Roman"/>
                <w:szCs w:val="24"/>
              </w:rPr>
              <w:t>. Skatinti p</w:t>
            </w:r>
            <w:r w:rsidR="00C805F7">
              <w:rPr>
                <w:rFonts w:cs="Times New Roman"/>
                <w:szCs w:val="24"/>
              </w:rPr>
              <w:t>agalbin</w:t>
            </w:r>
            <w:r w:rsidR="003A754F">
              <w:rPr>
                <w:rFonts w:cs="Times New Roman"/>
                <w:szCs w:val="24"/>
              </w:rPr>
              <w:t>į</w:t>
            </w:r>
            <w:r w:rsidR="00C805F7">
              <w:rPr>
                <w:rFonts w:cs="Times New Roman"/>
                <w:szCs w:val="24"/>
              </w:rPr>
              <w:t xml:space="preserve"> personal</w:t>
            </w:r>
            <w:r w:rsidR="003A754F">
              <w:rPr>
                <w:rFonts w:cs="Times New Roman"/>
                <w:szCs w:val="24"/>
              </w:rPr>
              <w:t>ą</w:t>
            </w:r>
            <w:r w:rsidR="00C805F7">
              <w:rPr>
                <w:rFonts w:cs="Times New Roman"/>
                <w:szCs w:val="24"/>
              </w:rPr>
              <w:t xml:space="preserve"> kvalifikacijos kėlimo-mokym</w:t>
            </w:r>
            <w:r w:rsidR="003A754F">
              <w:rPr>
                <w:rFonts w:cs="Times New Roman"/>
                <w:szCs w:val="24"/>
              </w:rPr>
              <w:t>uisi</w:t>
            </w:r>
            <w:r w:rsidR="00C805F7">
              <w:rPr>
                <w:rFonts w:cs="Times New Roman"/>
                <w:szCs w:val="24"/>
              </w:rPr>
              <w:t xml:space="preserve"> vykt</w:t>
            </w:r>
            <w:r w:rsidR="003A754F">
              <w:rPr>
                <w:rFonts w:cs="Times New Roman"/>
                <w:szCs w:val="24"/>
              </w:rPr>
              <w:t>i</w:t>
            </w:r>
            <w:r w:rsidR="00C805F7">
              <w:rPr>
                <w:rFonts w:cs="Times New Roman"/>
                <w:szCs w:val="24"/>
              </w:rPr>
              <w:t xml:space="preserve"> į partneri</w:t>
            </w:r>
            <w:r w:rsidR="003A754F">
              <w:rPr>
                <w:rFonts w:cs="Times New Roman"/>
                <w:szCs w:val="24"/>
              </w:rPr>
              <w:t>nius</w:t>
            </w:r>
            <w:r w:rsidR="00C805F7">
              <w:rPr>
                <w:rFonts w:cs="Times New Roman"/>
                <w:szCs w:val="24"/>
              </w:rPr>
              <w:t xml:space="preserve"> universitetus trumpalaik</w:t>
            </w:r>
            <w:r w:rsidR="00FA608C">
              <w:rPr>
                <w:rFonts w:cs="Times New Roman"/>
                <w:szCs w:val="24"/>
              </w:rPr>
              <w:t>ėms</w:t>
            </w:r>
            <w:r w:rsidR="00C805F7">
              <w:rPr>
                <w:rFonts w:cs="Times New Roman"/>
                <w:szCs w:val="24"/>
              </w:rPr>
              <w:t xml:space="preserve"> stažuotėms</w:t>
            </w:r>
          </w:p>
        </w:tc>
        <w:tc>
          <w:tcPr>
            <w:tcW w:w="643" w:type="pct"/>
          </w:tcPr>
          <w:p w14:paraId="39BC4F51" w14:textId="04D5A436" w:rsidR="00A17F28" w:rsidRPr="008819ED" w:rsidRDefault="00A17F28" w:rsidP="00A17F28">
            <w:pPr>
              <w:jc w:val="center"/>
              <w:rPr>
                <w:rFonts w:cs="Times New Roman"/>
                <w:szCs w:val="24"/>
              </w:rPr>
            </w:pPr>
            <w:r w:rsidRPr="001B1987">
              <w:rPr>
                <w:rFonts w:cs="Times New Roman"/>
                <w:szCs w:val="24"/>
              </w:rPr>
              <w:t>2023-2029</w:t>
            </w:r>
          </w:p>
        </w:tc>
        <w:tc>
          <w:tcPr>
            <w:tcW w:w="749" w:type="pct"/>
          </w:tcPr>
          <w:p w14:paraId="083BB237" w14:textId="144FA489" w:rsidR="00A17F28" w:rsidRPr="008819ED" w:rsidRDefault="003A754F" w:rsidP="00A17F28">
            <w:pPr>
              <w:jc w:val="center"/>
              <w:rPr>
                <w:rFonts w:cs="Times New Roman"/>
                <w:szCs w:val="24"/>
              </w:rPr>
            </w:pPr>
            <w:r>
              <w:rPr>
                <w:rFonts w:cs="Times New Roman"/>
                <w:szCs w:val="24"/>
              </w:rPr>
              <w:t>Laboratorijos vedėjas</w:t>
            </w:r>
            <w:r w:rsidR="00026FE5">
              <w:rPr>
                <w:rFonts w:cs="Times New Roman"/>
                <w:szCs w:val="24"/>
              </w:rPr>
              <w:t>, katedros vedėjas</w:t>
            </w:r>
          </w:p>
        </w:tc>
        <w:tc>
          <w:tcPr>
            <w:tcW w:w="941" w:type="pct"/>
          </w:tcPr>
          <w:p w14:paraId="7530AF02" w14:textId="75AC9F3D" w:rsidR="00A17F28" w:rsidRPr="008819ED" w:rsidRDefault="00A17F28" w:rsidP="00A17F28">
            <w:pPr>
              <w:pStyle w:val="Default"/>
              <w:jc w:val="center"/>
            </w:pPr>
          </w:p>
        </w:tc>
      </w:tr>
      <w:tr w:rsidR="00E90666" w:rsidRPr="000F069E" w14:paraId="3A80F922" w14:textId="77777777" w:rsidTr="00FA608C">
        <w:tc>
          <w:tcPr>
            <w:tcW w:w="492" w:type="pct"/>
          </w:tcPr>
          <w:p w14:paraId="6ED8F246" w14:textId="6B5A6866" w:rsidR="0038304D" w:rsidRPr="000F069E" w:rsidRDefault="0038304D" w:rsidP="00E03992">
            <w:pPr>
              <w:jc w:val="center"/>
              <w:rPr>
                <w:rFonts w:cs="Times New Roman"/>
              </w:rPr>
            </w:pPr>
            <w:r>
              <w:rPr>
                <w:rFonts w:cs="Times New Roman"/>
              </w:rPr>
              <w:lastRenderedPageBreak/>
              <w:t>7.</w:t>
            </w:r>
          </w:p>
        </w:tc>
        <w:tc>
          <w:tcPr>
            <w:tcW w:w="1099" w:type="pct"/>
          </w:tcPr>
          <w:p w14:paraId="482DAFF5" w14:textId="1BC4256B" w:rsidR="007D298D" w:rsidRPr="007D298D" w:rsidRDefault="007D298D" w:rsidP="007D298D">
            <w:pPr>
              <w:pStyle w:val="Default"/>
              <w:jc w:val="center"/>
              <w:rPr>
                <w:b/>
              </w:rPr>
            </w:pPr>
            <w:r w:rsidRPr="007D298D">
              <w:rPr>
                <w:b/>
              </w:rPr>
              <w:t xml:space="preserve">Studijų kokybės valdymas ir viešinimas. </w:t>
            </w:r>
          </w:p>
          <w:p w14:paraId="13D351AE" w14:textId="45A73D33" w:rsidR="0038304D" w:rsidRPr="008819ED" w:rsidRDefault="00AE2667" w:rsidP="00AE2667">
            <w:pPr>
              <w:pStyle w:val="Default"/>
              <w:jc w:val="center"/>
            </w:pPr>
            <w:r w:rsidRPr="008819ED">
              <w:t xml:space="preserve">Studijų programos turi sudėtingą struktūrą su daugybe komitetų. Jų tarpe pernelyg išskirstyta atsakomybė, kas įgalina perdėtą biurokratizmą, o tai vėlgi gali apsunkinti grįžtamojo ryšio teikimą. Programos procesuose taip pat turėtų būti pasitelkiamas platesnis indėlis iš aplinkos, neapsiribojant studentų apklausomis ir klausimynais, nes paprastai juose dalyvauja ir juos pildo tik mažuma studentų. </w:t>
            </w:r>
          </w:p>
        </w:tc>
        <w:tc>
          <w:tcPr>
            <w:tcW w:w="1076" w:type="pct"/>
          </w:tcPr>
          <w:p w14:paraId="2CF14991" w14:textId="254E8291" w:rsidR="008819ED" w:rsidRPr="008819ED" w:rsidRDefault="00CD333E" w:rsidP="00026FE5">
            <w:pPr>
              <w:jc w:val="both"/>
              <w:rPr>
                <w:rFonts w:cs="Times New Roman"/>
                <w:szCs w:val="24"/>
              </w:rPr>
            </w:pPr>
            <w:r w:rsidRPr="008819ED">
              <w:rPr>
                <w:rFonts w:cs="Times New Roman"/>
                <w:szCs w:val="24"/>
              </w:rPr>
              <w:t xml:space="preserve">Palaikyti visas priemones, kurios yra siūlomos ir diegiamos universiteto mastu, </w:t>
            </w:r>
            <w:r w:rsidR="00026FE5">
              <w:rPr>
                <w:rFonts w:cs="Times New Roman"/>
                <w:szCs w:val="24"/>
              </w:rPr>
              <w:t xml:space="preserve">bent kartą per metus </w:t>
            </w:r>
            <w:r w:rsidRPr="008819ED">
              <w:rPr>
                <w:rFonts w:cs="Times New Roman"/>
                <w:szCs w:val="24"/>
              </w:rPr>
              <w:t xml:space="preserve">rengti </w:t>
            </w:r>
            <w:r w:rsidR="00026FE5">
              <w:rPr>
                <w:rFonts w:cs="Times New Roman"/>
                <w:szCs w:val="24"/>
              </w:rPr>
              <w:t>bendrus susitikimus</w:t>
            </w:r>
            <w:r w:rsidRPr="008819ED">
              <w:rPr>
                <w:rFonts w:cs="Times New Roman"/>
                <w:szCs w:val="24"/>
              </w:rPr>
              <w:t xml:space="preserve"> su studentais ir soc. partneriais dėl grįžtamojo ryšio aptarimo. Viešinti grįžtamąjį ryšį tiek kiek leidžia BDAR.</w:t>
            </w:r>
            <w:r w:rsidR="008819ED" w:rsidRPr="008819ED">
              <w:rPr>
                <w:rFonts w:cs="Times New Roman"/>
                <w:szCs w:val="24"/>
              </w:rPr>
              <w:t xml:space="preserve"> Užtikrinti studentų dalyvavimo apklausose savanoriškumo principo laikymąsi. Optimizuoti anketų klausimų skaičių.</w:t>
            </w:r>
          </w:p>
        </w:tc>
        <w:tc>
          <w:tcPr>
            <w:tcW w:w="643" w:type="pct"/>
          </w:tcPr>
          <w:p w14:paraId="3FA012D9" w14:textId="130955BB" w:rsidR="0038304D" w:rsidRPr="008819ED" w:rsidRDefault="00A17F28" w:rsidP="00E03992">
            <w:pPr>
              <w:jc w:val="center"/>
              <w:rPr>
                <w:rFonts w:cs="Times New Roman"/>
                <w:szCs w:val="24"/>
              </w:rPr>
            </w:pPr>
            <w:r w:rsidRPr="008819ED">
              <w:rPr>
                <w:rFonts w:cs="Times New Roman"/>
                <w:szCs w:val="24"/>
              </w:rPr>
              <w:t>2023-2029</w:t>
            </w:r>
          </w:p>
        </w:tc>
        <w:tc>
          <w:tcPr>
            <w:tcW w:w="749" w:type="pct"/>
          </w:tcPr>
          <w:p w14:paraId="7AFFDA22" w14:textId="4A472A07" w:rsidR="0038304D" w:rsidRPr="008819ED" w:rsidRDefault="00026FE5" w:rsidP="00E03992">
            <w:pPr>
              <w:jc w:val="center"/>
              <w:rPr>
                <w:rFonts w:cs="Times New Roman"/>
                <w:szCs w:val="24"/>
              </w:rPr>
            </w:pPr>
            <w:r>
              <w:rPr>
                <w:rFonts w:cs="Times New Roman"/>
                <w:szCs w:val="24"/>
              </w:rPr>
              <w:t>Studijų programų komitetai (SPK);</w:t>
            </w:r>
            <w:r w:rsidRPr="008819ED">
              <w:rPr>
                <w:rFonts w:cs="Times New Roman"/>
                <w:szCs w:val="24"/>
              </w:rPr>
              <w:t xml:space="preserve"> katedros vedėjas</w:t>
            </w:r>
          </w:p>
        </w:tc>
        <w:tc>
          <w:tcPr>
            <w:tcW w:w="941" w:type="pct"/>
          </w:tcPr>
          <w:p w14:paraId="4460393F" w14:textId="77777777" w:rsidR="0038304D" w:rsidRPr="008819ED" w:rsidRDefault="0038304D" w:rsidP="007D298D">
            <w:pPr>
              <w:pStyle w:val="Default"/>
              <w:jc w:val="center"/>
            </w:pPr>
          </w:p>
        </w:tc>
      </w:tr>
      <w:tr w:rsidR="00E90666" w:rsidRPr="000F069E" w14:paraId="12436A63" w14:textId="77777777" w:rsidTr="00FA608C">
        <w:tc>
          <w:tcPr>
            <w:tcW w:w="492" w:type="pct"/>
          </w:tcPr>
          <w:p w14:paraId="7F50FBDA" w14:textId="718248EA" w:rsidR="000E22D2" w:rsidRDefault="000E22D2" w:rsidP="00E03992">
            <w:pPr>
              <w:jc w:val="center"/>
              <w:rPr>
                <w:rFonts w:cs="Times New Roman"/>
              </w:rPr>
            </w:pPr>
            <w:r>
              <w:rPr>
                <w:rFonts w:cs="Times New Roman"/>
              </w:rPr>
              <w:t>8.1.</w:t>
            </w:r>
          </w:p>
        </w:tc>
        <w:tc>
          <w:tcPr>
            <w:tcW w:w="1099" w:type="pct"/>
          </w:tcPr>
          <w:p w14:paraId="60DAE124" w14:textId="0EF6930F" w:rsidR="000E22D2" w:rsidRPr="00E90666" w:rsidRDefault="000E22D2" w:rsidP="000E22D2">
            <w:pPr>
              <w:autoSpaceDE w:val="0"/>
              <w:autoSpaceDN w:val="0"/>
              <w:adjustRightInd w:val="0"/>
              <w:rPr>
                <w:rFonts w:cs="Times New Roman"/>
                <w:szCs w:val="24"/>
              </w:rPr>
            </w:pPr>
            <w:r w:rsidRPr="00E90666">
              <w:rPr>
                <w:rFonts w:cs="Times New Roman"/>
                <w:color w:val="000000"/>
                <w:szCs w:val="24"/>
              </w:rPr>
              <w:t xml:space="preserve">Studijų programos visuomenei galėtų būti pristatomos šiuolaikiškiau, pavyzdžiui, atnaujinus kai kurių studijų dalykų pavadinimus, nes tai padėtų joms išsiskirti ir padarytų patrauklesnėmis potencialiems studentams. Rekomenduojama daugiau dėmesio skirti naujoviškoms technologijoms, skirtoms spręsti dabartines ekstremalias klimato kaitos problemas. </w:t>
            </w:r>
          </w:p>
        </w:tc>
        <w:tc>
          <w:tcPr>
            <w:tcW w:w="1076" w:type="pct"/>
          </w:tcPr>
          <w:p w14:paraId="77B08FAC" w14:textId="479CADB0" w:rsidR="000E22D2" w:rsidRDefault="00D77C5A" w:rsidP="00E90666">
            <w:pPr>
              <w:pStyle w:val="Listnumbering"/>
              <w:numPr>
                <w:ilvl w:val="0"/>
                <w:numId w:val="0"/>
              </w:numPr>
              <w:tabs>
                <w:tab w:val="clear" w:pos="851"/>
              </w:tabs>
              <w:spacing w:after="120"/>
              <w:ind w:left="31"/>
              <w:contextualSpacing w:val="0"/>
              <w:rPr>
                <w:rFonts w:ascii="Times New Roman" w:hAnsi="Times New Roman" w:cs="Times New Roman"/>
                <w:i w:val="0"/>
                <w:iCs/>
              </w:rPr>
            </w:pPr>
            <w:r w:rsidRPr="00E90666">
              <w:rPr>
                <w:rFonts w:ascii="Times New Roman" w:hAnsi="Times New Roman" w:cs="Times New Roman"/>
                <w:i w:val="0"/>
                <w:iCs/>
              </w:rPr>
              <w:t xml:space="preserve">Atsižvelgiant į aktualijas ir siekiant padidinti priėmimą į studijų programas </w:t>
            </w:r>
            <w:r w:rsidR="004D1EFB" w:rsidRPr="00E90666">
              <w:rPr>
                <w:rFonts w:ascii="Times New Roman" w:hAnsi="Times New Roman" w:cs="Times New Roman"/>
                <w:i w:val="0"/>
                <w:iCs/>
              </w:rPr>
              <w:t>kur</w:t>
            </w:r>
            <w:r w:rsidR="00E90666">
              <w:rPr>
                <w:rFonts w:ascii="Times New Roman" w:hAnsi="Times New Roman" w:cs="Times New Roman"/>
                <w:i w:val="0"/>
                <w:iCs/>
              </w:rPr>
              <w:t>iamos</w:t>
            </w:r>
            <w:r w:rsidR="004D1EFB" w:rsidRPr="00E90666">
              <w:rPr>
                <w:rFonts w:ascii="Times New Roman" w:hAnsi="Times New Roman" w:cs="Times New Roman"/>
                <w:i w:val="0"/>
                <w:iCs/>
              </w:rPr>
              <w:t xml:space="preserve"> dvi program</w:t>
            </w:r>
            <w:r w:rsidR="00E90666">
              <w:rPr>
                <w:rFonts w:ascii="Times New Roman" w:hAnsi="Times New Roman" w:cs="Times New Roman"/>
                <w:i w:val="0"/>
                <w:iCs/>
              </w:rPr>
              <w:t>os</w:t>
            </w:r>
            <w:r w:rsidR="004D1EFB" w:rsidRPr="00E90666">
              <w:rPr>
                <w:rFonts w:ascii="Times New Roman" w:hAnsi="Times New Roman" w:cs="Times New Roman"/>
                <w:i w:val="0"/>
                <w:iCs/>
              </w:rPr>
              <w:t>: bakalauro studij</w:t>
            </w:r>
            <w:r w:rsidR="00026FE5">
              <w:rPr>
                <w:rFonts w:ascii="Times New Roman" w:hAnsi="Times New Roman" w:cs="Times New Roman"/>
                <w:i w:val="0"/>
                <w:iCs/>
              </w:rPr>
              <w:t>ų</w:t>
            </w:r>
            <w:r w:rsidR="004D1EFB" w:rsidRPr="00E90666">
              <w:rPr>
                <w:rFonts w:ascii="Times New Roman" w:hAnsi="Times New Roman" w:cs="Times New Roman"/>
                <w:i w:val="0"/>
                <w:iCs/>
              </w:rPr>
              <w:t xml:space="preserve"> program</w:t>
            </w:r>
            <w:r w:rsidR="00026FE5">
              <w:rPr>
                <w:rFonts w:ascii="Times New Roman" w:hAnsi="Times New Roman" w:cs="Times New Roman"/>
                <w:i w:val="0"/>
                <w:iCs/>
              </w:rPr>
              <w:t>a</w:t>
            </w:r>
            <w:r w:rsidR="004D1EFB" w:rsidRPr="00E90666">
              <w:rPr>
                <w:rFonts w:ascii="Times New Roman" w:hAnsi="Times New Roman" w:cs="Times New Roman"/>
                <w:i w:val="0"/>
                <w:iCs/>
              </w:rPr>
              <w:t xml:space="preserve"> „Klimato kaitos technologijos / Klimato inžinerija“ bei Magistratūros studijų program</w:t>
            </w:r>
            <w:r w:rsidR="00E90666">
              <w:rPr>
                <w:rFonts w:ascii="Times New Roman" w:hAnsi="Times New Roman" w:cs="Times New Roman"/>
                <w:i w:val="0"/>
                <w:iCs/>
              </w:rPr>
              <w:t>a</w:t>
            </w:r>
            <w:r w:rsidR="004D1EFB" w:rsidRPr="00E90666">
              <w:rPr>
                <w:rFonts w:ascii="Times New Roman" w:hAnsi="Times New Roman" w:cs="Times New Roman"/>
                <w:i w:val="0"/>
                <w:iCs/>
              </w:rPr>
              <w:t xml:space="preserve"> „</w:t>
            </w:r>
            <w:r w:rsidR="00026FE5">
              <w:rPr>
                <w:rFonts w:ascii="Times New Roman" w:hAnsi="Times New Roman" w:cs="Times New Roman"/>
                <w:i w:val="0"/>
                <w:iCs/>
              </w:rPr>
              <w:t>Tvari aplinka (</w:t>
            </w:r>
            <w:r w:rsidR="004D1EFB" w:rsidRPr="00E90666">
              <w:rPr>
                <w:rFonts w:ascii="Times New Roman" w:hAnsi="Times New Roman" w:cs="Times New Roman"/>
                <w:i w:val="0"/>
                <w:iCs/>
              </w:rPr>
              <w:t>Sustainable environment</w:t>
            </w:r>
            <w:r w:rsidR="00026FE5">
              <w:rPr>
                <w:rFonts w:ascii="Times New Roman" w:hAnsi="Times New Roman" w:cs="Times New Roman"/>
                <w:i w:val="0"/>
                <w:iCs/>
              </w:rPr>
              <w:t>)</w:t>
            </w:r>
            <w:r w:rsidR="004D1EFB" w:rsidRPr="00E90666">
              <w:rPr>
                <w:rFonts w:ascii="Times New Roman" w:hAnsi="Times New Roman" w:cs="Times New Roman"/>
                <w:i w:val="0"/>
                <w:iCs/>
              </w:rPr>
              <w:t>“.</w:t>
            </w:r>
          </w:p>
          <w:p w14:paraId="47FC0129" w14:textId="3E2F0795" w:rsidR="00F5656A" w:rsidRPr="00E90666" w:rsidRDefault="00F5656A" w:rsidP="00026FE5">
            <w:pPr>
              <w:pStyle w:val="Listnumbering"/>
              <w:numPr>
                <w:ilvl w:val="0"/>
                <w:numId w:val="0"/>
              </w:numPr>
              <w:tabs>
                <w:tab w:val="clear" w:pos="851"/>
              </w:tabs>
              <w:spacing w:after="120"/>
              <w:ind w:left="31"/>
              <w:contextualSpacing w:val="0"/>
              <w:rPr>
                <w:rFonts w:ascii="Times New Roman" w:hAnsi="Times New Roman" w:cs="Times New Roman"/>
              </w:rPr>
            </w:pPr>
            <w:r>
              <w:rPr>
                <w:rFonts w:ascii="Times New Roman" w:hAnsi="Times New Roman" w:cs="Times New Roman"/>
                <w:i w:val="0"/>
                <w:iCs/>
              </w:rPr>
              <w:t xml:space="preserve">Atskirų </w:t>
            </w:r>
            <w:r w:rsidR="00026FE5">
              <w:rPr>
                <w:rFonts w:ascii="Times New Roman" w:hAnsi="Times New Roman" w:cs="Times New Roman"/>
                <w:i w:val="0"/>
                <w:iCs/>
              </w:rPr>
              <w:t>dalykų modulių (</w:t>
            </w:r>
            <w:r>
              <w:rPr>
                <w:rFonts w:ascii="Times New Roman" w:hAnsi="Times New Roman" w:cs="Times New Roman"/>
                <w:i w:val="0"/>
                <w:iCs/>
              </w:rPr>
              <w:t>mikro</w:t>
            </w:r>
            <w:r w:rsidR="00026FE5">
              <w:rPr>
                <w:rFonts w:ascii="Times New Roman" w:hAnsi="Times New Roman" w:cs="Times New Roman"/>
                <w:i w:val="0"/>
                <w:iCs/>
              </w:rPr>
              <w:t>k</w:t>
            </w:r>
            <w:r>
              <w:rPr>
                <w:rFonts w:ascii="Times New Roman" w:hAnsi="Times New Roman" w:cs="Times New Roman"/>
                <w:i w:val="0"/>
                <w:iCs/>
              </w:rPr>
              <w:t>redit</w:t>
            </w:r>
            <w:r w:rsidR="00026FE5">
              <w:rPr>
                <w:rFonts w:ascii="Times New Roman" w:hAnsi="Times New Roman" w:cs="Times New Roman"/>
                <w:i w:val="0"/>
                <w:iCs/>
              </w:rPr>
              <w:t>ams rinkti)</w:t>
            </w:r>
            <w:r>
              <w:rPr>
                <w:rFonts w:ascii="Times New Roman" w:hAnsi="Times New Roman" w:cs="Times New Roman"/>
                <w:i w:val="0"/>
                <w:iCs/>
              </w:rPr>
              <w:t xml:space="preserve"> sukūrimas</w:t>
            </w:r>
            <w:r w:rsidR="00C2055D">
              <w:rPr>
                <w:rFonts w:ascii="Times New Roman" w:hAnsi="Times New Roman" w:cs="Times New Roman"/>
                <w:i w:val="0"/>
                <w:iCs/>
              </w:rPr>
              <w:t xml:space="preserve">, tokių kaip tvarumo aspektai, tvarumo vertinimas, anglies pėdsako </w:t>
            </w:r>
            <w:r w:rsidR="00C2055D">
              <w:rPr>
                <w:rFonts w:ascii="Times New Roman" w:hAnsi="Times New Roman" w:cs="Times New Roman"/>
                <w:i w:val="0"/>
                <w:iCs/>
              </w:rPr>
              <w:lastRenderedPageBreak/>
              <w:t>vertinimas ir kompensaciniai mechanizmai</w:t>
            </w:r>
            <w:r w:rsidR="00026FE5">
              <w:rPr>
                <w:rFonts w:ascii="Times New Roman" w:hAnsi="Times New Roman" w:cs="Times New Roman"/>
                <w:i w:val="0"/>
                <w:iCs/>
              </w:rPr>
              <w:t>.</w:t>
            </w:r>
          </w:p>
        </w:tc>
        <w:tc>
          <w:tcPr>
            <w:tcW w:w="643" w:type="pct"/>
          </w:tcPr>
          <w:p w14:paraId="29C56EFE" w14:textId="4CC6A252" w:rsidR="000E22D2" w:rsidRPr="008819ED" w:rsidRDefault="00A17F28" w:rsidP="004D1EFB">
            <w:pPr>
              <w:jc w:val="center"/>
              <w:rPr>
                <w:rFonts w:cs="Times New Roman"/>
                <w:szCs w:val="24"/>
              </w:rPr>
            </w:pPr>
            <w:r w:rsidRPr="008819ED">
              <w:rPr>
                <w:rFonts w:cs="Times New Roman"/>
                <w:szCs w:val="24"/>
              </w:rPr>
              <w:lastRenderedPageBreak/>
              <w:t>2023-202</w:t>
            </w:r>
            <w:r w:rsidR="004D1EFB">
              <w:rPr>
                <w:rFonts w:cs="Times New Roman"/>
                <w:szCs w:val="24"/>
              </w:rPr>
              <w:t>4</w:t>
            </w:r>
          </w:p>
        </w:tc>
        <w:tc>
          <w:tcPr>
            <w:tcW w:w="749" w:type="pct"/>
          </w:tcPr>
          <w:p w14:paraId="163FCBBC" w14:textId="65EE382C" w:rsidR="000E22D2" w:rsidRPr="008819ED" w:rsidRDefault="00026FE5" w:rsidP="00E03992">
            <w:pPr>
              <w:jc w:val="center"/>
              <w:rPr>
                <w:rFonts w:cs="Times New Roman"/>
                <w:szCs w:val="24"/>
              </w:rPr>
            </w:pPr>
            <w:r>
              <w:rPr>
                <w:rFonts w:cs="Times New Roman"/>
                <w:szCs w:val="24"/>
              </w:rPr>
              <w:t>AAVIK</w:t>
            </w:r>
            <w:r>
              <w:rPr>
                <w:rFonts w:cs="Times New Roman"/>
                <w:szCs w:val="24"/>
              </w:rPr>
              <w:t xml:space="preserve">; SPK;  </w:t>
            </w:r>
            <w:r w:rsidR="00D77C5A">
              <w:rPr>
                <w:rFonts w:cs="Times New Roman"/>
                <w:szCs w:val="24"/>
              </w:rPr>
              <w:t>Katedros vedėjas</w:t>
            </w:r>
          </w:p>
        </w:tc>
        <w:tc>
          <w:tcPr>
            <w:tcW w:w="941" w:type="pct"/>
          </w:tcPr>
          <w:p w14:paraId="2877AD63" w14:textId="0AD5D088" w:rsidR="000E22D2" w:rsidRPr="008819ED" w:rsidRDefault="000E22D2" w:rsidP="00AE2667">
            <w:pPr>
              <w:pStyle w:val="Default"/>
              <w:jc w:val="center"/>
            </w:pPr>
            <w:r w:rsidRPr="008819ED">
              <w:rPr>
                <w:b/>
                <w:bCs/>
              </w:rPr>
              <w:t>Tobulintinos sritys</w:t>
            </w:r>
          </w:p>
        </w:tc>
      </w:tr>
      <w:tr w:rsidR="00E90666" w:rsidRPr="000F069E" w14:paraId="3AE24240" w14:textId="77777777" w:rsidTr="00FA608C">
        <w:tc>
          <w:tcPr>
            <w:tcW w:w="492" w:type="pct"/>
          </w:tcPr>
          <w:p w14:paraId="421B0B0E" w14:textId="51B984A8" w:rsidR="000E22D2" w:rsidRDefault="000E22D2" w:rsidP="00A17F28">
            <w:pPr>
              <w:jc w:val="center"/>
              <w:rPr>
                <w:rFonts w:cs="Times New Roman"/>
              </w:rPr>
            </w:pPr>
            <w:r>
              <w:rPr>
                <w:rFonts w:cs="Times New Roman"/>
              </w:rPr>
              <w:t>8.2</w:t>
            </w:r>
            <w:r w:rsidR="00A17F28">
              <w:rPr>
                <w:rFonts w:cs="Times New Roman"/>
              </w:rPr>
              <w:t>a</w:t>
            </w:r>
          </w:p>
        </w:tc>
        <w:tc>
          <w:tcPr>
            <w:tcW w:w="1099" w:type="pct"/>
          </w:tcPr>
          <w:p w14:paraId="2283EEDB" w14:textId="7AAB0C28" w:rsidR="000E22D2" w:rsidRPr="008819ED" w:rsidRDefault="000E22D2" w:rsidP="00A17F28">
            <w:pPr>
              <w:pStyle w:val="Default"/>
            </w:pPr>
            <w:r w:rsidRPr="00026FE5">
              <w:rPr>
                <w:color w:val="auto"/>
              </w:rPr>
              <w:t xml:space="preserve">Studentai norėtų gauti daugiau informacijos apie galimybes įsitraukti į mokslinių tyrimų projektus. Būtų naudinga organizuoti daugiau susitikimų ir renginių su darbdaviais. </w:t>
            </w:r>
            <w:r w:rsidR="004D1EFB" w:rsidRPr="00026FE5">
              <w:rPr>
                <w:color w:val="auto"/>
              </w:rPr>
              <w:t>Taip pat būtų gerai, kad bakalauro programoje būtų daugiau technologinių studijų dalykų (net ir pirmaisiais metais). Trūksta vieno svarbaus studijų dalyko, susijusio su klimato kaitos švelninimo ir prisitaikymo prie jos strategijomis.</w:t>
            </w:r>
          </w:p>
        </w:tc>
        <w:tc>
          <w:tcPr>
            <w:tcW w:w="1076" w:type="pct"/>
          </w:tcPr>
          <w:p w14:paraId="6D264275" w14:textId="77777777" w:rsidR="000E22D2" w:rsidRDefault="008819ED" w:rsidP="00FA608C">
            <w:pPr>
              <w:jc w:val="center"/>
              <w:rPr>
                <w:rFonts w:cs="Times New Roman"/>
                <w:szCs w:val="24"/>
              </w:rPr>
            </w:pPr>
            <w:r w:rsidRPr="008819ED">
              <w:rPr>
                <w:rFonts w:cs="Times New Roman"/>
                <w:szCs w:val="24"/>
              </w:rPr>
              <w:t>Skatin</w:t>
            </w:r>
            <w:r w:rsidR="00FA608C">
              <w:rPr>
                <w:rFonts w:cs="Times New Roman"/>
                <w:szCs w:val="24"/>
              </w:rPr>
              <w:t>ti</w:t>
            </w:r>
            <w:r w:rsidRPr="008819ED">
              <w:rPr>
                <w:rFonts w:cs="Times New Roman"/>
                <w:szCs w:val="24"/>
              </w:rPr>
              <w:t xml:space="preserve"> dėstytojus </w:t>
            </w:r>
            <w:r w:rsidR="00FA608C">
              <w:rPr>
                <w:rFonts w:cs="Times New Roman"/>
                <w:szCs w:val="24"/>
              </w:rPr>
              <w:t>dalyvauti VILNISU TECH s</w:t>
            </w:r>
            <w:r w:rsidR="00FA608C" w:rsidRPr="00FA608C">
              <w:rPr>
                <w:rFonts w:cs="Times New Roman"/>
                <w:szCs w:val="24"/>
              </w:rPr>
              <w:t xml:space="preserve">tudentų įtraukimo į mokslinę veiklą </w:t>
            </w:r>
            <w:r w:rsidR="00FA608C">
              <w:rPr>
                <w:rFonts w:cs="Times New Roman"/>
                <w:szCs w:val="24"/>
              </w:rPr>
              <w:t xml:space="preserve">konkurse bei </w:t>
            </w:r>
            <w:r w:rsidRPr="008819ED">
              <w:rPr>
                <w:rFonts w:cs="Times New Roman"/>
                <w:szCs w:val="24"/>
              </w:rPr>
              <w:t xml:space="preserve">rengti paraiškas (LMT, MITA) moksliniams projektams, </w:t>
            </w:r>
            <w:r w:rsidR="00FA608C">
              <w:rPr>
                <w:rFonts w:cs="Times New Roman"/>
                <w:szCs w:val="24"/>
              </w:rPr>
              <w:t>į kurias bus</w:t>
            </w:r>
            <w:r w:rsidRPr="008819ED">
              <w:rPr>
                <w:rFonts w:cs="Times New Roman"/>
                <w:szCs w:val="24"/>
              </w:rPr>
              <w:t xml:space="preserve"> įtraukia</w:t>
            </w:r>
            <w:r w:rsidR="00FA608C">
              <w:rPr>
                <w:rFonts w:cs="Times New Roman"/>
                <w:szCs w:val="24"/>
              </w:rPr>
              <w:t xml:space="preserve">mi </w:t>
            </w:r>
            <w:r w:rsidRPr="008819ED">
              <w:rPr>
                <w:rFonts w:cs="Times New Roman"/>
                <w:szCs w:val="24"/>
              </w:rPr>
              <w:t>student</w:t>
            </w:r>
            <w:r w:rsidR="00FA608C">
              <w:rPr>
                <w:rFonts w:cs="Times New Roman"/>
                <w:szCs w:val="24"/>
              </w:rPr>
              <w:t>ai</w:t>
            </w:r>
            <w:r w:rsidRPr="008819ED">
              <w:rPr>
                <w:rFonts w:cs="Times New Roman"/>
                <w:szCs w:val="24"/>
              </w:rPr>
              <w:t>.</w:t>
            </w:r>
          </w:p>
          <w:p w14:paraId="3A6F0813" w14:textId="7D52421C" w:rsidR="00F5656A" w:rsidRPr="008819ED" w:rsidRDefault="00F5656A" w:rsidP="00F5656A">
            <w:pPr>
              <w:jc w:val="center"/>
              <w:rPr>
                <w:rFonts w:cs="Times New Roman"/>
                <w:szCs w:val="24"/>
              </w:rPr>
            </w:pPr>
            <w:r>
              <w:rPr>
                <w:rFonts w:cs="Times New Roman"/>
                <w:szCs w:val="24"/>
              </w:rPr>
              <w:t xml:space="preserve">Socialinių partnerių intensyvesnis įtraukimas į studijų procesą skaitant paskaitas, siūlant baigiamųjų darbų temas, profesinės veiklos praktikos vietas. Atnaujinti studijų programas, įtraukiant aktualiausias temas – prisitaikymą prie klimato kaitos, žiedinės ekonomikos principus atskiruose sektoriuose. </w:t>
            </w:r>
          </w:p>
        </w:tc>
        <w:tc>
          <w:tcPr>
            <w:tcW w:w="643" w:type="pct"/>
          </w:tcPr>
          <w:p w14:paraId="50958370" w14:textId="41666EDB" w:rsidR="000E22D2" w:rsidRPr="008819ED" w:rsidRDefault="00A17F28" w:rsidP="00F5656A">
            <w:pPr>
              <w:jc w:val="center"/>
              <w:rPr>
                <w:rFonts w:cs="Times New Roman"/>
                <w:szCs w:val="24"/>
              </w:rPr>
            </w:pPr>
            <w:r w:rsidRPr="008819ED">
              <w:rPr>
                <w:rFonts w:cs="Times New Roman"/>
                <w:szCs w:val="24"/>
              </w:rPr>
              <w:t>2023-20</w:t>
            </w:r>
            <w:r w:rsidR="00F5656A">
              <w:rPr>
                <w:rFonts w:cs="Times New Roman"/>
                <w:szCs w:val="24"/>
              </w:rPr>
              <w:t>25</w:t>
            </w:r>
          </w:p>
        </w:tc>
        <w:tc>
          <w:tcPr>
            <w:tcW w:w="749" w:type="pct"/>
          </w:tcPr>
          <w:p w14:paraId="12E044EB" w14:textId="57518129" w:rsidR="000E22D2" w:rsidRPr="008819ED" w:rsidRDefault="00026FE5" w:rsidP="00E03992">
            <w:pPr>
              <w:jc w:val="center"/>
              <w:rPr>
                <w:rFonts w:cs="Times New Roman"/>
                <w:szCs w:val="24"/>
              </w:rPr>
            </w:pPr>
            <w:r>
              <w:rPr>
                <w:rFonts w:cs="Times New Roman"/>
                <w:szCs w:val="24"/>
              </w:rPr>
              <w:t>AAVIK; SPK;  Katedros vedėjas</w:t>
            </w:r>
          </w:p>
        </w:tc>
        <w:tc>
          <w:tcPr>
            <w:tcW w:w="941" w:type="pct"/>
          </w:tcPr>
          <w:p w14:paraId="40C0AE0F" w14:textId="4C91D2BF" w:rsidR="000E22D2" w:rsidRPr="008819ED" w:rsidRDefault="000E22D2" w:rsidP="00AE2667">
            <w:pPr>
              <w:pStyle w:val="Default"/>
              <w:jc w:val="center"/>
            </w:pPr>
            <w:r w:rsidRPr="008819ED">
              <w:rPr>
                <w:b/>
                <w:bCs/>
              </w:rPr>
              <w:t>Tobulintinos sritys</w:t>
            </w:r>
          </w:p>
        </w:tc>
      </w:tr>
      <w:tr w:rsidR="00E90666" w:rsidRPr="000F069E" w14:paraId="52A23563" w14:textId="77777777" w:rsidTr="00FA608C">
        <w:tc>
          <w:tcPr>
            <w:tcW w:w="492" w:type="pct"/>
          </w:tcPr>
          <w:p w14:paraId="2B82B626" w14:textId="6CD891CC" w:rsidR="000E22D2" w:rsidRDefault="000E22D2" w:rsidP="00E03992">
            <w:pPr>
              <w:jc w:val="center"/>
              <w:rPr>
                <w:rFonts w:cs="Times New Roman"/>
              </w:rPr>
            </w:pPr>
            <w:r>
              <w:rPr>
                <w:rFonts w:cs="Times New Roman"/>
              </w:rPr>
              <w:t>8.3.</w:t>
            </w:r>
          </w:p>
        </w:tc>
        <w:tc>
          <w:tcPr>
            <w:tcW w:w="1099" w:type="pct"/>
          </w:tcPr>
          <w:p w14:paraId="509292B7" w14:textId="4A2B3B9E" w:rsidR="000E22D2" w:rsidRPr="008819ED" w:rsidRDefault="000E22D2" w:rsidP="000E22D2">
            <w:pPr>
              <w:autoSpaceDE w:val="0"/>
              <w:autoSpaceDN w:val="0"/>
              <w:adjustRightInd w:val="0"/>
              <w:rPr>
                <w:rFonts w:cs="Times New Roman"/>
                <w:szCs w:val="24"/>
              </w:rPr>
            </w:pPr>
            <w:r w:rsidRPr="000E22D2">
              <w:rPr>
                <w:rFonts w:cs="Times New Roman"/>
                <w:color w:val="000000"/>
                <w:szCs w:val="24"/>
              </w:rPr>
              <w:t xml:space="preserve">Reikėtų persvarstyti baigiamųjų darbų vertinimo sistemą, siekiant, kad ji leistų įvardinti pačius geriausius studentus (t. y. aukščiausi įvertinimai turėtų būti išimtis, o ne norma). Be to, atrodo, kad studentai, atliekantys baigiamąjį darbą savo darbovietėse, turi pranašumą (būtina vertinti </w:t>
            </w:r>
            <w:r w:rsidRPr="000E22D2">
              <w:rPr>
                <w:rFonts w:cs="Times New Roman"/>
                <w:color w:val="000000"/>
                <w:szCs w:val="24"/>
              </w:rPr>
              <w:lastRenderedPageBreak/>
              <w:t>tiriamąją baigiamojo darbo dalį, o ne darbdaviui atliekamą veiklą).</w:t>
            </w:r>
          </w:p>
        </w:tc>
        <w:tc>
          <w:tcPr>
            <w:tcW w:w="1076" w:type="pct"/>
          </w:tcPr>
          <w:p w14:paraId="22135830" w14:textId="76105C06" w:rsidR="000E22D2" w:rsidRPr="008819ED" w:rsidRDefault="00FA608C" w:rsidP="00F5656A">
            <w:pPr>
              <w:jc w:val="center"/>
              <w:rPr>
                <w:rFonts w:cs="Times New Roman"/>
                <w:szCs w:val="24"/>
              </w:rPr>
            </w:pPr>
            <w:r>
              <w:rPr>
                <w:rFonts w:cs="Times New Roman"/>
                <w:szCs w:val="24"/>
              </w:rPr>
              <w:lastRenderedPageBreak/>
              <w:t>P</w:t>
            </w:r>
            <w:r w:rsidR="00E90666">
              <w:rPr>
                <w:rFonts w:cs="Times New Roman"/>
                <w:szCs w:val="24"/>
              </w:rPr>
              <w:t xml:space="preserve">eržiūrėti ir atnaujinti </w:t>
            </w:r>
            <w:r w:rsidR="00026FE5">
              <w:rPr>
                <w:rFonts w:cs="Times New Roman"/>
                <w:szCs w:val="24"/>
              </w:rPr>
              <w:t>baigiamųjų darbų (</w:t>
            </w:r>
            <w:r w:rsidR="00E90666">
              <w:rPr>
                <w:rFonts w:cs="Times New Roman"/>
                <w:szCs w:val="24"/>
              </w:rPr>
              <w:t>BD</w:t>
            </w:r>
            <w:r w:rsidR="00026FE5">
              <w:rPr>
                <w:rFonts w:cs="Times New Roman"/>
                <w:szCs w:val="24"/>
              </w:rPr>
              <w:t>)</w:t>
            </w:r>
            <w:bookmarkStart w:id="0" w:name="_GoBack"/>
            <w:bookmarkEnd w:id="0"/>
            <w:r w:rsidR="00E90666">
              <w:rPr>
                <w:rFonts w:cs="Times New Roman"/>
                <w:szCs w:val="24"/>
              </w:rPr>
              <w:t xml:space="preserve"> vertinamuosius kriterijus bei įverčių (pasiekimų) sistemą.</w:t>
            </w:r>
            <w:r w:rsidR="00F5656A">
              <w:rPr>
                <w:rFonts w:cs="Times New Roman"/>
                <w:szCs w:val="24"/>
              </w:rPr>
              <w:t xml:space="preserve"> BD rengimo metu studentus supažindinti su vertinimo kriterijais</w:t>
            </w:r>
          </w:p>
        </w:tc>
        <w:tc>
          <w:tcPr>
            <w:tcW w:w="643" w:type="pct"/>
          </w:tcPr>
          <w:p w14:paraId="5B2AFDE1" w14:textId="47832974" w:rsidR="000E22D2" w:rsidRPr="008819ED" w:rsidRDefault="00A17F28" w:rsidP="00E90666">
            <w:pPr>
              <w:jc w:val="center"/>
              <w:rPr>
                <w:rFonts w:cs="Times New Roman"/>
                <w:szCs w:val="24"/>
              </w:rPr>
            </w:pPr>
            <w:r w:rsidRPr="008819ED">
              <w:rPr>
                <w:rFonts w:cs="Times New Roman"/>
                <w:szCs w:val="24"/>
              </w:rPr>
              <w:t>202</w:t>
            </w:r>
            <w:r w:rsidR="00E90666">
              <w:rPr>
                <w:rFonts w:cs="Times New Roman"/>
                <w:szCs w:val="24"/>
              </w:rPr>
              <w:t>2</w:t>
            </w:r>
            <w:r w:rsidRPr="008819ED">
              <w:rPr>
                <w:rFonts w:cs="Times New Roman"/>
                <w:szCs w:val="24"/>
              </w:rPr>
              <w:t>-202</w:t>
            </w:r>
            <w:r w:rsidR="00E90666">
              <w:rPr>
                <w:rFonts w:cs="Times New Roman"/>
                <w:szCs w:val="24"/>
              </w:rPr>
              <w:t>3</w:t>
            </w:r>
          </w:p>
        </w:tc>
        <w:tc>
          <w:tcPr>
            <w:tcW w:w="749" w:type="pct"/>
          </w:tcPr>
          <w:p w14:paraId="1B5A95C7" w14:textId="37DFCAB3" w:rsidR="000E22D2" w:rsidRPr="008819ED" w:rsidRDefault="00FA608C" w:rsidP="00E03992">
            <w:pPr>
              <w:jc w:val="center"/>
              <w:rPr>
                <w:rFonts w:cs="Times New Roman"/>
                <w:szCs w:val="24"/>
              </w:rPr>
            </w:pPr>
            <w:r>
              <w:rPr>
                <w:rFonts w:cs="Times New Roman"/>
                <w:szCs w:val="24"/>
              </w:rPr>
              <w:t>SPK</w:t>
            </w:r>
          </w:p>
        </w:tc>
        <w:tc>
          <w:tcPr>
            <w:tcW w:w="941" w:type="pct"/>
          </w:tcPr>
          <w:p w14:paraId="7D30C27D" w14:textId="73E46638" w:rsidR="000E22D2" w:rsidRPr="008819ED" w:rsidRDefault="000E22D2" w:rsidP="00AE2667">
            <w:pPr>
              <w:pStyle w:val="Default"/>
              <w:jc w:val="center"/>
            </w:pPr>
            <w:r w:rsidRPr="008819ED">
              <w:rPr>
                <w:b/>
                <w:bCs/>
              </w:rPr>
              <w:t>Tobulintinos sritys</w:t>
            </w:r>
          </w:p>
        </w:tc>
      </w:tr>
    </w:tbl>
    <w:p w14:paraId="6C173F5D" w14:textId="77777777" w:rsidR="00E03992" w:rsidRPr="000F069E" w:rsidRDefault="00E03992" w:rsidP="00E03992">
      <w:pPr>
        <w:spacing w:after="0" w:line="240" w:lineRule="auto"/>
        <w:jc w:val="center"/>
        <w:rPr>
          <w:rFonts w:cs="Times New Roman"/>
        </w:rPr>
      </w:pPr>
    </w:p>
    <w:p w14:paraId="1CECB8B9" w14:textId="77A97EED" w:rsidR="00C55B1C" w:rsidRDefault="00C55B1C" w:rsidP="001E5F09">
      <w:pPr>
        <w:spacing w:after="0" w:line="240" w:lineRule="auto"/>
        <w:rPr>
          <w:rFonts w:cs="Times New Roman"/>
          <w:szCs w:val="24"/>
        </w:rPr>
      </w:pPr>
    </w:p>
    <w:p w14:paraId="61750EF2" w14:textId="77777777" w:rsidR="00EA159A" w:rsidRDefault="00EA159A" w:rsidP="001E5F09">
      <w:pPr>
        <w:spacing w:after="0" w:line="240" w:lineRule="auto"/>
        <w:rPr>
          <w:rFonts w:cs="Times New Roman"/>
          <w:szCs w:val="24"/>
        </w:rPr>
      </w:pPr>
    </w:p>
    <w:sectPr w:rsidR="00EA159A" w:rsidSect="002B25F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2607" w14:textId="77777777" w:rsidR="002B3B66" w:rsidRDefault="002B3B66" w:rsidP="003E627D">
      <w:pPr>
        <w:spacing w:after="0" w:line="240" w:lineRule="auto"/>
      </w:pPr>
      <w:r>
        <w:separator/>
      </w:r>
    </w:p>
  </w:endnote>
  <w:endnote w:type="continuationSeparator" w:id="0">
    <w:p w14:paraId="44882BCC" w14:textId="77777777" w:rsidR="002B3B66" w:rsidRDefault="002B3B66"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44A7" w14:textId="77777777" w:rsidR="002B3B66" w:rsidRDefault="002B3B66" w:rsidP="003E627D">
      <w:pPr>
        <w:spacing w:after="0" w:line="240" w:lineRule="auto"/>
      </w:pPr>
      <w:r>
        <w:separator/>
      </w:r>
    </w:p>
  </w:footnote>
  <w:footnote w:type="continuationSeparator" w:id="0">
    <w:p w14:paraId="375DDA02" w14:textId="77777777" w:rsidR="002B3B66" w:rsidRDefault="002B3B66"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BF451D1"/>
    <w:multiLevelType w:val="multilevel"/>
    <w:tmpl w:val="CA7A5A76"/>
    <w:lvl w:ilvl="0">
      <w:start w:val="1"/>
      <w:numFmt w:val="decimal"/>
      <w:pStyle w:val="List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1"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0"/>
  </w:num>
  <w:num w:numId="5">
    <w:abstractNumId w:val="10"/>
  </w:num>
  <w:num w:numId="6">
    <w:abstractNumId w:val="1"/>
  </w:num>
  <w:num w:numId="7">
    <w:abstractNumId w:val="12"/>
  </w:num>
  <w:num w:numId="8">
    <w:abstractNumId w:val="8"/>
  </w:num>
  <w:num w:numId="9">
    <w:abstractNumId w:val="16"/>
  </w:num>
  <w:num w:numId="10">
    <w:abstractNumId w:val="14"/>
  </w:num>
  <w:num w:numId="11">
    <w:abstractNumId w:val="3"/>
  </w:num>
  <w:num w:numId="12">
    <w:abstractNumId w:val="13"/>
  </w:num>
  <w:num w:numId="13">
    <w:abstractNumId w:val="11"/>
  </w:num>
  <w:num w:numId="14">
    <w:abstractNumId w:val="6"/>
  </w:num>
  <w:num w:numId="15">
    <w:abstractNumId w:val="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89"/>
    <w:rsid w:val="0000497A"/>
    <w:rsid w:val="00014B07"/>
    <w:rsid w:val="00026FE5"/>
    <w:rsid w:val="0005760D"/>
    <w:rsid w:val="0006484B"/>
    <w:rsid w:val="0006680B"/>
    <w:rsid w:val="00074EE0"/>
    <w:rsid w:val="00090B2D"/>
    <w:rsid w:val="000926E4"/>
    <w:rsid w:val="000A0B31"/>
    <w:rsid w:val="000A22C0"/>
    <w:rsid w:val="000A4104"/>
    <w:rsid w:val="000A61CD"/>
    <w:rsid w:val="000B41C6"/>
    <w:rsid w:val="000C737A"/>
    <w:rsid w:val="000C758B"/>
    <w:rsid w:val="000C7AAE"/>
    <w:rsid w:val="000D33C4"/>
    <w:rsid w:val="000E22D2"/>
    <w:rsid w:val="000F069E"/>
    <w:rsid w:val="001069B1"/>
    <w:rsid w:val="00125C6C"/>
    <w:rsid w:val="00130B1A"/>
    <w:rsid w:val="00133CC2"/>
    <w:rsid w:val="001370BB"/>
    <w:rsid w:val="0014474A"/>
    <w:rsid w:val="00146D3C"/>
    <w:rsid w:val="00155D47"/>
    <w:rsid w:val="00166EC1"/>
    <w:rsid w:val="00170F38"/>
    <w:rsid w:val="00176183"/>
    <w:rsid w:val="001A1347"/>
    <w:rsid w:val="001B0747"/>
    <w:rsid w:val="001B5945"/>
    <w:rsid w:val="001B62A6"/>
    <w:rsid w:val="001E1F8D"/>
    <w:rsid w:val="001E59CE"/>
    <w:rsid w:val="001E5F09"/>
    <w:rsid w:val="001E7FAE"/>
    <w:rsid w:val="002078A9"/>
    <w:rsid w:val="00210B09"/>
    <w:rsid w:val="00212DC0"/>
    <w:rsid w:val="002172A2"/>
    <w:rsid w:val="00220732"/>
    <w:rsid w:val="00222F5C"/>
    <w:rsid w:val="00230A38"/>
    <w:rsid w:val="00236558"/>
    <w:rsid w:val="00257B2C"/>
    <w:rsid w:val="00270F68"/>
    <w:rsid w:val="00270FC9"/>
    <w:rsid w:val="002737A5"/>
    <w:rsid w:val="00273A30"/>
    <w:rsid w:val="00275646"/>
    <w:rsid w:val="002837B7"/>
    <w:rsid w:val="002875B6"/>
    <w:rsid w:val="002A06B7"/>
    <w:rsid w:val="002B1C8D"/>
    <w:rsid w:val="002B25FA"/>
    <w:rsid w:val="002B3B66"/>
    <w:rsid w:val="002B76C2"/>
    <w:rsid w:val="002C2BA7"/>
    <w:rsid w:val="002C2D28"/>
    <w:rsid w:val="002C7B9E"/>
    <w:rsid w:val="002D11B1"/>
    <w:rsid w:val="002D5A5D"/>
    <w:rsid w:val="002E3FA0"/>
    <w:rsid w:val="002F4C8A"/>
    <w:rsid w:val="003029F8"/>
    <w:rsid w:val="003054C2"/>
    <w:rsid w:val="00314060"/>
    <w:rsid w:val="00327544"/>
    <w:rsid w:val="00333317"/>
    <w:rsid w:val="00367B89"/>
    <w:rsid w:val="0037126E"/>
    <w:rsid w:val="00371FF4"/>
    <w:rsid w:val="0038304D"/>
    <w:rsid w:val="00386E89"/>
    <w:rsid w:val="003935A7"/>
    <w:rsid w:val="003A2F81"/>
    <w:rsid w:val="003A754F"/>
    <w:rsid w:val="003B1528"/>
    <w:rsid w:val="003C2B7B"/>
    <w:rsid w:val="003E627D"/>
    <w:rsid w:val="0040435E"/>
    <w:rsid w:val="00405438"/>
    <w:rsid w:val="00430C7F"/>
    <w:rsid w:val="00434C5E"/>
    <w:rsid w:val="004364A6"/>
    <w:rsid w:val="004443C2"/>
    <w:rsid w:val="00450E18"/>
    <w:rsid w:val="004565B2"/>
    <w:rsid w:val="00491680"/>
    <w:rsid w:val="00496C58"/>
    <w:rsid w:val="004A4EC4"/>
    <w:rsid w:val="004B0511"/>
    <w:rsid w:val="004B2ACD"/>
    <w:rsid w:val="004B4A6A"/>
    <w:rsid w:val="004C0E82"/>
    <w:rsid w:val="004C1A35"/>
    <w:rsid w:val="004D1EFB"/>
    <w:rsid w:val="004D28E2"/>
    <w:rsid w:val="004E3889"/>
    <w:rsid w:val="004F17AB"/>
    <w:rsid w:val="00500A56"/>
    <w:rsid w:val="00510F3B"/>
    <w:rsid w:val="00530740"/>
    <w:rsid w:val="005332AC"/>
    <w:rsid w:val="00534790"/>
    <w:rsid w:val="00541E6E"/>
    <w:rsid w:val="00561FEB"/>
    <w:rsid w:val="00566968"/>
    <w:rsid w:val="00583123"/>
    <w:rsid w:val="005A2DDF"/>
    <w:rsid w:val="005B74E8"/>
    <w:rsid w:val="005C6E1B"/>
    <w:rsid w:val="005F737B"/>
    <w:rsid w:val="00600390"/>
    <w:rsid w:val="00602DC0"/>
    <w:rsid w:val="006051A9"/>
    <w:rsid w:val="00621576"/>
    <w:rsid w:val="006331C7"/>
    <w:rsid w:val="0065366A"/>
    <w:rsid w:val="00654A0B"/>
    <w:rsid w:val="00666147"/>
    <w:rsid w:val="00667E28"/>
    <w:rsid w:val="00676508"/>
    <w:rsid w:val="00686AA6"/>
    <w:rsid w:val="006A1668"/>
    <w:rsid w:val="006A76E8"/>
    <w:rsid w:val="006B353E"/>
    <w:rsid w:val="006B3B4E"/>
    <w:rsid w:val="006E0AD9"/>
    <w:rsid w:val="0071133D"/>
    <w:rsid w:val="00713728"/>
    <w:rsid w:val="007152FA"/>
    <w:rsid w:val="00725CCE"/>
    <w:rsid w:val="00766C93"/>
    <w:rsid w:val="0077253C"/>
    <w:rsid w:val="0077606B"/>
    <w:rsid w:val="00793E21"/>
    <w:rsid w:val="007A7083"/>
    <w:rsid w:val="007B4191"/>
    <w:rsid w:val="007B4500"/>
    <w:rsid w:val="007D298D"/>
    <w:rsid w:val="007F49C1"/>
    <w:rsid w:val="007F4BF4"/>
    <w:rsid w:val="00812CC1"/>
    <w:rsid w:val="0081546F"/>
    <w:rsid w:val="00831561"/>
    <w:rsid w:val="00843BC2"/>
    <w:rsid w:val="00843F6B"/>
    <w:rsid w:val="0086180C"/>
    <w:rsid w:val="0088149D"/>
    <w:rsid w:val="008819ED"/>
    <w:rsid w:val="00886134"/>
    <w:rsid w:val="008878E2"/>
    <w:rsid w:val="008A7984"/>
    <w:rsid w:val="008A7B57"/>
    <w:rsid w:val="008C2633"/>
    <w:rsid w:val="008D2237"/>
    <w:rsid w:val="008E7792"/>
    <w:rsid w:val="008F5E1E"/>
    <w:rsid w:val="00907293"/>
    <w:rsid w:val="00912688"/>
    <w:rsid w:val="0091332D"/>
    <w:rsid w:val="00930A62"/>
    <w:rsid w:val="009340CB"/>
    <w:rsid w:val="00940A0D"/>
    <w:rsid w:val="0094719D"/>
    <w:rsid w:val="009600ED"/>
    <w:rsid w:val="009663DD"/>
    <w:rsid w:val="00976D22"/>
    <w:rsid w:val="00980CFC"/>
    <w:rsid w:val="00984D2F"/>
    <w:rsid w:val="0099245C"/>
    <w:rsid w:val="009A2A1A"/>
    <w:rsid w:val="009A2D50"/>
    <w:rsid w:val="009B7860"/>
    <w:rsid w:val="009D4F0E"/>
    <w:rsid w:val="009E5238"/>
    <w:rsid w:val="009E54F6"/>
    <w:rsid w:val="009F0CAB"/>
    <w:rsid w:val="00A02DB5"/>
    <w:rsid w:val="00A030CD"/>
    <w:rsid w:val="00A0468C"/>
    <w:rsid w:val="00A17F28"/>
    <w:rsid w:val="00A27245"/>
    <w:rsid w:val="00A27865"/>
    <w:rsid w:val="00A40CCF"/>
    <w:rsid w:val="00A41750"/>
    <w:rsid w:val="00A52714"/>
    <w:rsid w:val="00A54E9A"/>
    <w:rsid w:val="00A973D0"/>
    <w:rsid w:val="00AB2629"/>
    <w:rsid w:val="00AC54FC"/>
    <w:rsid w:val="00AC5FB7"/>
    <w:rsid w:val="00AD5509"/>
    <w:rsid w:val="00AE2667"/>
    <w:rsid w:val="00AF1C21"/>
    <w:rsid w:val="00B20B6C"/>
    <w:rsid w:val="00B23647"/>
    <w:rsid w:val="00B25A93"/>
    <w:rsid w:val="00B36B4F"/>
    <w:rsid w:val="00B51200"/>
    <w:rsid w:val="00B64CE8"/>
    <w:rsid w:val="00B67C8C"/>
    <w:rsid w:val="00B76318"/>
    <w:rsid w:val="00B95C2F"/>
    <w:rsid w:val="00BA4479"/>
    <w:rsid w:val="00BB1ADF"/>
    <w:rsid w:val="00BC62D1"/>
    <w:rsid w:val="00BE0688"/>
    <w:rsid w:val="00C017F9"/>
    <w:rsid w:val="00C111DB"/>
    <w:rsid w:val="00C16B71"/>
    <w:rsid w:val="00C2055D"/>
    <w:rsid w:val="00C55B1C"/>
    <w:rsid w:val="00C805F7"/>
    <w:rsid w:val="00C863C6"/>
    <w:rsid w:val="00CC3936"/>
    <w:rsid w:val="00CD333E"/>
    <w:rsid w:val="00CD6771"/>
    <w:rsid w:val="00CE41B5"/>
    <w:rsid w:val="00CE53C1"/>
    <w:rsid w:val="00CE5E91"/>
    <w:rsid w:val="00CF0513"/>
    <w:rsid w:val="00D00B85"/>
    <w:rsid w:val="00D1291B"/>
    <w:rsid w:val="00D15B64"/>
    <w:rsid w:val="00D23FCA"/>
    <w:rsid w:val="00D24B0C"/>
    <w:rsid w:val="00D339F0"/>
    <w:rsid w:val="00D35272"/>
    <w:rsid w:val="00D37D16"/>
    <w:rsid w:val="00D51B49"/>
    <w:rsid w:val="00D756C7"/>
    <w:rsid w:val="00D77C5A"/>
    <w:rsid w:val="00D94762"/>
    <w:rsid w:val="00DA301C"/>
    <w:rsid w:val="00DB08A3"/>
    <w:rsid w:val="00DC1350"/>
    <w:rsid w:val="00DC1892"/>
    <w:rsid w:val="00DE0FDD"/>
    <w:rsid w:val="00DF51C9"/>
    <w:rsid w:val="00E03992"/>
    <w:rsid w:val="00E11D1B"/>
    <w:rsid w:val="00E13058"/>
    <w:rsid w:val="00E13DD9"/>
    <w:rsid w:val="00E26759"/>
    <w:rsid w:val="00E26B84"/>
    <w:rsid w:val="00E41A05"/>
    <w:rsid w:val="00E555F0"/>
    <w:rsid w:val="00E76054"/>
    <w:rsid w:val="00E829E9"/>
    <w:rsid w:val="00E90666"/>
    <w:rsid w:val="00E908D9"/>
    <w:rsid w:val="00E93489"/>
    <w:rsid w:val="00E979DC"/>
    <w:rsid w:val="00EA159A"/>
    <w:rsid w:val="00EC02C6"/>
    <w:rsid w:val="00EC7BCD"/>
    <w:rsid w:val="00ED7117"/>
    <w:rsid w:val="00EF0374"/>
    <w:rsid w:val="00EF5F1A"/>
    <w:rsid w:val="00F25B6E"/>
    <w:rsid w:val="00F37EF0"/>
    <w:rsid w:val="00F548A4"/>
    <w:rsid w:val="00F561C9"/>
    <w:rsid w:val="00F5656A"/>
    <w:rsid w:val="00F729C5"/>
    <w:rsid w:val="00F85937"/>
    <w:rsid w:val="00F875EC"/>
    <w:rsid w:val="00F877E3"/>
    <w:rsid w:val="00FA4DE5"/>
    <w:rsid w:val="00FA608C"/>
    <w:rsid w:val="00FD1D20"/>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6CD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nhideWhenUsed/>
    <w:rsid w:val="00D94762"/>
    <w:pPr>
      <w:spacing w:line="240" w:lineRule="auto"/>
    </w:pPr>
    <w:rPr>
      <w:sz w:val="20"/>
      <w:szCs w:val="20"/>
    </w:rPr>
  </w:style>
  <w:style w:type="character" w:customStyle="1" w:styleId="CommentTextChar">
    <w:name w:val="Comment Text Char"/>
    <w:basedOn w:val="DefaultParagraphFont"/>
    <w:link w:val="CommentText"/>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 w:type="paragraph" w:customStyle="1" w:styleId="Listnumbering">
    <w:name w:val="List numbering"/>
    <w:basedOn w:val="Normal"/>
    <w:qFormat/>
    <w:rsid w:val="00A17F28"/>
    <w:pPr>
      <w:numPr>
        <w:numId w:val="17"/>
      </w:numPr>
      <w:tabs>
        <w:tab w:val="left" w:pos="851"/>
      </w:tabs>
      <w:spacing w:before="120" w:after="0" w:line="240" w:lineRule="auto"/>
      <w:contextualSpacing/>
      <w:jc w:val="both"/>
    </w:pPr>
    <w:rPr>
      <w:rFonts w:asciiTheme="minorHAnsi" w:hAnsiTheme="minorHAnsi"/>
      <w:i/>
      <w:szCs w:val="24"/>
      <w:shd w:val="clear" w:color="auto" w:fill="FFFFFF"/>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720061453">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05227960">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8224-014C-4362-B324-974AF019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4483</Words>
  <Characters>2556</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Raimondas Grubliauskas</cp:lastModifiedBy>
  <cp:revision>2</cp:revision>
  <dcterms:created xsi:type="dcterms:W3CDTF">2022-11-22T06:23:00Z</dcterms:created>
  <dcterms:modified xsi:type="dcterms:W3CDTF">2022-11-22T06:23:00Z</dcterms:modified>
</cp:coreProperties>
</file>